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4674F">
      <w:pPr>
        <w:pStyle w:val="8"/>
        <w:spacing w:line="560" w:lineRule="exact"/>
      </w:pPr>
      <w:bookmarkStart w:id="0" w:name="_GoBack"/>
      <w:bookmarkEnd w:id="0"/>
      <w:r>
        <w:rPr>
          <w:rFonts w:hint="eastAsia"/>
        </w:rPr>
        <w:t>附件4</w:t>
      </w:r>
    </w:p>
    <w:p w14:paraId="17C3D9E4">
      <w:pPr>
        <w:pStyle w:val="2"/>
        <w:spacing w:line="560" w:lineRule="exact"/>
      </w:pPr>
    </w:p>
    <w:p w14:paraId="1075ECC1">
      <w:pPr>
        <w:pStyle w:val="2"/>
        <w:spacing w:line="560" w:lineRule="exact"/>
        <w:rPr>
          <w:rFonts w:ascii="方正小标宋简体"/>
        </w:rPr>
      </w:pPr>
      <w:r>
        <w:rPr>
          <w:rFonts w:hint="eastAsia" w:ascii="方正小标宋简体"/>
        </w:rPr>
        <w:t>2025年度检验检测机构监督检查信息统计表</w:t>
      </w:r>
    </w:p>
    <w:p w14:paraId="75C11DCA">
      <w:pPr>
        <w:spacing w:line="300" w:lineRule="exact"/>
        <w:ind w:firstLine="640"/>
      </w:pPr>
    </w:p>
    <w:tbl>
      <w:tblPr>
        <w:tblStyle w:val="6"/>
        <w:tblW w:w="55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188"/>
        <w:gridCol w:w="891"/>
        <w:gridCol w:w="662"/>
        <w:gridCol w:w="1005"/>
        <w:gridCol w:w="1062"/>
        <w:gridCol w:w="790"/>
        <w:gridCol w:w="876"/>
        <w:gridCol w:w="760"/>
        <w:gridCol w:w="977"/>
        <w:gridCol w:w="747"/>
        <w:gridCol w:w="977"/>
        <w:gridCol w:w="1292"/>
        <w:gridCol w:w="1103"/>
        <w:gridCol w:w="775"/>
        <w:gridCol w:w="820"/>
        <w:gridCol w:w="781"/>
      </w:tblGrid>
      <w:tr w14:paraId="3272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atLeast"/>
          <w:jc w:val="center"/>
        </w:trPr>
        <w:tc>
          <w:tcPr>
            <w:tcW w:w="1157" w:type="dxa"/>
            <w:vMerge w:val="restart"/>
            <w:vAlign w:val="center"/>
          </w:tcPr>
          <w:p w14:paraId="2E14B46E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黑体" w:cs="方正黑体_GBK"/>
                <w:color w:val="000000"/>
                <w:sz w:val="21"/>
                <w:szCs w:val="21"/>
              </w:rPr>
              <w:t>领域</w:t>
            </w:r>
          </w:p>
        </w:tc>
        <w:tc>
          <w:tcPr>
            <w:tcW w:w="868" w:type="dxa"/>
            <w:vMerge w:val="restart"/>
            <w:vAlign w:val="center"/>
          </w:tcPr>
          <w:p w14:paraId="066F2B1C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黑体" w:cs="方正黑体_GBK"/>
                <w:color w:val="000000"/>
                <w:sz w:val="21"/>
                <w:szCs w:val="21"/>
              </w:rPr>
              <w:t>部门联合检查数量</w:t>
            </w:r>
          </w:p>
        </w:tc>
        <w:tc>
          <w:tcPr>
            <w:tcW w:w="5025" w:type="dxa"/>
            <w:gridSpan w:val="6"/>
            <w:vAlign w:val="center"/>
          </w:tcPr>
          <w:p w14:paraId="6E67B325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黑体_GBK" w:hAnsi="方正黑体_GBK" w:eastAsia="黑体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黑体" w:cs="方正黑体_GBK"/>
                <w:color w:val="000000"/>
                <w:sz w:val="21"/>
                <w:szCs w:val="21"/>
              </w:rPr>
              <w:t>全年检验检测机构监督检查情况</w:t>
            </w:r>
          </w:p>
          <w:p w14:paraId="764CD830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（包括批办、投诉、信访、“双随机、一公开”等）</w:t>
            </w:r>
          </w:p>
        </w:tc>
        <w:tc>
          <w:tcPr>
            <w:tcW w:w="7282" w:type="dxa"/>
            <w:gridSpan w:val="8"/>
            <w:vAlign w:val="center"/>
          </w:tcPr>
          <w:p w14:paraId="10627349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黑体" w:cs="方正黑体_GBK"/>
                <w:color w:val="000000"/>
                <w:sz w:val="21"/>
                <w:szCs w:val="21"/>
              </w:rPr>
              <w:t>“双随机、一公开”监督抽查情况</w:t>
            </w:r>
          </w:p>
        </w:tc>
      </w:tr>
      <w:tr w14:paraId="740C2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1" w:hRule="atLeast"/>
          <w:jc w:val="center"/>
        </w:trPr>
        <w:tc>
          <w:tcPr>
            <w:tcW w:w="1157" w:type="dxa"/>
            <w:vMerge w:val="continue"/>
            <w:vAlign w:val="center"/>
          </w:tcPr>
          <w:p w14:paraId="56CD1B50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4F9BBC55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vAlign w:val="center"/>
          </w:tcPr>
          <w:p w14:paraId="37A7D0C6">
            <w:pPr>
              <w:widowControl/>
              <w:overflowPunct/>
              <w:spacing w:line="3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/>
                <w:color w:val="000000"/>
                <w:sz w:val="21"/>
                <w:szCs w:val="21"/>
              </w:rPr>
              <w:t>现场检查机构数（家）</w:t>
            </w:r>
          </w:p>
        </w:tc>
        <w:tc>
          <w:tcPr>
            <w:tcW w:w="3639" w:type="dxa"/>
            <w:gridSpan w:val="4"/>
            <w:vAlign w:val="center"/>
          </w:tcPr>
          <w:p w14:paraId="4987BA25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黑体" w:cs="方正黑体_GBK"/>
                <w:color w:val="000000"/>
                <w:sz w:val="21"/>
                <w:szCs w:val="21"/>
              </w:rPr>
              <w:t>处理/处罚情况</w:t>
            </w:r>
          </w:p>
        </w:tc>
        <w:tc>
          <w:tcPr>
            <w:tcW w:w="742" w:type="dxa"/>
            <w:vMerge w:val="restart"/>
            <w:vAlign w:val="center"/>
          </w:tcPr>
          <w:p w14:paraId="171FD154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移送司法机关（起）</w:t>
            </w:r>
          </w:p>
        </w:tc>
        <w:tc>
          <w:tcPr>
            <w:tcW w:w="2632" w:type="dxa"/>
            <w:gridSpan w:val="3"/>
            <w:vAlign w:val="center"/>
          </w:tcPr>
          <w:p w14:paraId="497CEE45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黑体" w:cs="方正黑体_GBK"/>
                <w:color w:val="000000"/>
                <w:sz w:val="21"/>
                <w:szCs w:val="21"/>
              </w:rPr>
              <w:t>抽取情况</w:t>
            </w:r>
          </w:p>
        </w:tc>
        <w:tc>
          <w:tcPr>
            <w:tcW w:w="3891" w:type="dxa"/>
            <w:gridSpan w:val="4"/>
            <w:vAlign w:val="center"/>
          </w:tcPr>
          <w:p w14:paraId="78ADB280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黑体_GBK" w:hAnsi="方正黑体_GBK" w:eastAsia="黑体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黑体" w:cs="方正黑体_GBK"/>
                <w:color w:val="000000"/>
                <w:sz w:val="21"/>
                <w:szCs w:val="21"/>
              </w:rPr>
              <w:t>处理/处罚情况</w:t>
            </w:r>
          </w:p>
        </w:tc>
        <w:tc>
          <w:tcPr>
            <w:tcW w:w="759" w:type="dxa"/>
            <w:vMerge w:val="restart"/>
            <w:vAlign w:val="center"/>
          </w:tcPr>
          <w:p w14:paraId="47E7D012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移送司法机关（起）</w:t>
            </w:r>
          </w:p>
        </w:tc>
      </w:tr>
      <w:tr w14:paraId="7452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0" w:hRule="atLeast"/>
          <w:jc w:val="center"/>
        </w:trPr>
        <w:tc>
          <w:tcPr>
            <w:tcW w:w="1157" w:type="dxa"/>
            <w:vMerge w:val="continue"/>
            <w:tcBorders>
              <w:bottom w:val="single" w:color="auto" w:sz="4" w:space="0"/>
            </w:tcBorders>
            <w:vAlign w:val="center"/>
          </w:tcPr>
          <w:p w14:paraId="607F6479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Merge w:val="continue"/>
            <w:tcBorders>
              <w:bottom w:val="single" w:color="auto" w:sz="4" w:space="0"/>
            </w:tcBorders>
            <w:vAlign w:val="center"/>
          </w:tcPr>
          <w:p w14:paraId="63F49B93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bottom w:val="single" w:color="auto" w:sz="4" w:space="0"/>
            </w:tcBorders>
            <w:vAlign w:val="center"/>
          </w:tcPr>
          <w:p w14:paraId="4B9668F1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 w14:paraId="5617EF61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查处违法违规行为（起）</w:t>
            </w:r>
          </w:p>
        </w:tc>
        <w:tc>
          <w:tcPr>
            <w:tcW w:w="1036" w:type="dxa"/>
            <w:tcBorders>
              <w:bottom w:val="single" w:color="auto" w:sz="4" w:space="0"/>
            </w:tcBorders>
            <w:vAlign w:val="center"/>
          </w:tcPr>
          <w:p w14:paraId="63B62D35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pacing w:val="-4"/>
                <w:sz w:val="21"/>
                <w:szCs w:val="21"/>
              </w:rPr>
              <w:t>其中：责令改正</w:t>
            </w:r>
            <w:r>
              <w:rPr>
                <w:rFonts w:hint="eastAsia" w:ascii="仿宋_GB2312" w:hAnsi="方正仿宋_GBK" w:cs="方正仿宋_GBK"/>
                <w:color w:val="000000"/>
                <w:spacing w:val="-4"/>
                <w:sz w:val="21"/>
                <w:szCs w:val="21"/>
              </w:rPr>
              <w:t>/</w:t>
            </w:r>
            <w:r>
              <w:rPr>
                <w:rFonts w:hint="eastAsia" w:ascii="方正仿宋_GBK" w:hAnsi="方正仿宋_GBK" w:cs="方正仿宋_GBK"/>
                <w:color w:val="000000"/>
                <w:spacing w:val="-4"/>
                <w:sz w:val="21"/>
                <w:szCs w:val="21"/>
              </w:rPr>
              <w:t>整改（家）</w:t>
            </w:r>
          </w:p>
        </w:tc>
        <w:tc>
          <w:tcPr>
            <w:tcW w:w="770" w:type="dxa"/>
            <w:tcBorders>
              <w:bottom w:val="single" w:color="auto" w:sz="4" w:space="0"/>
            </w:tcBorders>
            <w:vAlign w:val="center"/>
          </w:tcPr>
          <w:p w14:paraId="0352CFC1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撤销</w:t>
            </w:r>
            <w:r>
              <w:rPr>
                <w:rFonts w:hint="eastAsia" w:ascii="仿宋_GB2312" w:hAnsi="方正仿宋_GBK" w:cs="方正仿宋_GBK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注销（家）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 w14:paraId="0BB9EE41">
            <w:pPr>
              <w:widowControl/>
              <w:overflowPunct/>
              <w:spacing w:line="300" w:lineRule="exact"/>
              <w:ind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罚没款（万元）</w:t>
            </w:r>
          </w:p>
        </w:tc>
        <w:tc>
          <w:tcPr>
            <w:tcW w:w="742" w:type="dxa"/>
            <w:vMerge w:val="continue"/>
            <w:tcBorders>
              <w:bottom w:val="single" w:color="auto" w:sz="4" w:space="0"/>
            </w:tcBorders>
            <w:vAlign w:val="center"/>
          </w:tcPr>
          <w:p w14:paraId="6F1FB4A1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tcBorders>
              <w:bottom w:val="single" w:color="auto" w:sz="4" w:space="0"/>
            </w:tcBorders>
            <w:vAlign w:val="center"/>
          </w:tcPr>
          <w:p w14:paraId="48A5F4E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K" w:cs="方正仿宋_GBK"/>
                <w:color w:val="000000"/>
                <w:sz w:val="21"/>
                <w:szCs w:val="21"/>
              </w:rPr>
              <w:t>现场抽查机构数（家次）</w:t>
            </w:r>
          </w:p>
        </w:tc>
        <w:tc>
          <w:tcPr>
            <w:tcW w:w="728" w:type="dxa"/>
            <w:tcBorders>
              <w:bottom w:val="single" w:color="auto" w:sz="4" w:space="0"/>
            </w:tcBorders>
            <w:vAlign w:val="center"/>
          </w:tcPr>
          <w:p w14:paraId="7FD053CE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K" w:cs="方正仿宋_GBK"/>
                <w:color w:val="000000"/>
                <w:sz w:val="21"/>
                <w:szCs w:val="21"/>
              </w:rPr>
              <w:t>抽取比例（%）</w:t>
            </w:r>
          </w:p>
        </w:tc>
        <w:tc>
          <w:tcPr>
            <w:tcW w:w="952" w:type="dxa"/>
            <w:tcBorders>
              <w:bottom w:val="single" w:color="auto" w:sz="4" w:space="0"/>
            </w:tcBorders>
            <w:vAlign w:val="center"/>
          </w:tcPr>
          <w:p w14:paraId="4FC26F71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K" w:cs="方正仿宋_GBK"/>
                <w:color w:val="000000"/>
                <w:sz w:val="21"/>
                <w:szCs w:val="21"/>
              </w:rPr>
              <w:t>占本年度监督检查机构比例（%）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0E83F89F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K" w:cs="方正仿宋_GBK"/>
                <w:color w:val="000000"/>
                <w:sz w:val="21"/>
                <w:szCs w:val="21"/>
              </w:rPr>
              <w:t>查办违法违规行为数量（起）</w:t>
            </w:r>
          </w:p>
        </w:tc>
        <w:tc>
          <w:tcPr>
            <w:tcW w:w="1077" w:type="dxa"/>
            <w:tcBorders>
              <w:bottom w:val="single" w:color="auto" w:sz="4" w:space="0"/>
            </w:tcBorders>
            <w:vAlign w:val="center"/>
          </w:tcPr>
          <w:p w14:paraId="26EA0BD1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K" w:cs="方正仿宋_GBK"/>
                <w:color w:val="000000"/>
                <w:sz w:val="21"/>
                <w:szCs w:val="21"/>
              </w:rPr>
              <w:t>其中：责令改正/整改（家）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vAlign w:val="center"/>
          </w:tcPr>
          <w:p w14:paraId="0CCD1352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K" w:cs="方正仿宋_GBK"/>
                <w:color w:val="000000"/>
                <w:sz w:val="21"/>
                <w:szCs w:val="21"/>
              </w:rPr>
              <w:t>撤销/注销（家）</w:t>
            </w:r>
          </w:p>
        </w:tc>
        <w:tc>
          <w:tcPr>
            <w:tcW w:w="798" w:type="dxa"/>
            <w:tcBorders>
              <w:bottom w:val="single" w:color="auto" w:sz="4" w:space="0"/>
            </w:tcBorders>
            <w:vAlign w:val="center"/>
          </w:tcPr>
          <w:p w14:paraId="1FF4E47C">
            <w:pPr>
              <w:widowControl/>
              <w:overflowPunct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K" w:cs="方正仿宋_GBK"/>
                <w:color w:val="000000"/>
                <w:sz w:val="21"/>
                <w:szCs w:val="21"/>
              </w:rPr>
              <w:t>罚没款</w:t>
            </w:r>
          </w:p>
          <w:p w14:paraId="03308DDA">
            <w:pPr>
              <w:widowControl/>
              <w:overflowPunct/>
              <w:spacing w:line="300" w:lineRule="exact"/>
              <w:ind w:firstLine="0" w:firstLineChars="0"/>
              <w:textAlignment w:val="center"/>
              <w:rPr>
                <w:rFonts w:ascii="仿宋_GB2312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K" w:cs="方正仿宋_GBK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759" w:type="dxa"/>
            <w:vMerge w:val="continue"/>
            <w:tcBorders>
              <w:bottom w:val="single" w:color="auto" w:sz="4" w:space="0"/>
            </w:tcBorders>
            <w:vAlign w:val="center"/>
          </w:tcPr>
          <w:p w14:paraId="04BC4A66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</w:tr>
      <w:tr w14:paraId="5DBE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1157" w:type="dxa"/>
            <w:vAlign w:val="center"/>
          </w:tcPr>
          <w:p w14:paraId="58FE6897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生态环境</w:t>
            </w:r>
          </w:p>
        </w:tc>
        <w:tc>
          <w:tcPr>
            <w:tcW w:w="868" w:type="dxa"/>
            <w:vAlign w:val="center"/>
          </w:tcPr>
          <w:p w14:paraId="0B4B4A4C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41D73B4B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34AEECFE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7AEC3EDF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66D0210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215719F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62F3AFB1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378B0897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6CE08102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3A70025F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BC811B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59BC2895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453ED50C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75402438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5038DC07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</w:tr>
      <w:tr w14:paraId="7ACAA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1157" w:type="dxa"/>
            <w:vAlign w:val="center"/>
          </w:tcPr>
          <w:p w14:paraId="7C53C115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机动车</w:t>
            </w:r>
          </w:p>
        </w:tc>
        <w:tc>
          <w:tcPr>
            <w:tcW w:w="868" w:type="dxa"/>
            <w:vAlign w:val="center"/>
          </w:tcPr>
          <w:p w14:paraId="6021C84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7D8538F1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4E100E62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1ADB55F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04E02A0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4CE1505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0C58D010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51E3A6F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1FE0A0D0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3C670826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062F882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1F760116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0EBDBE00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74F4AEB5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692C4C3E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</w:tr>
      <w:tr w14:paraId="3FCC8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1157" w:type="dxa"/>
            <w:vAlign w:val="center"/>
          </w:tcPr>
          <w:p w14:paraId="15EA1343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建材</w:t>
            </w:r>
          </w:p>
        </w:tc>
        <w:tc>
          <w:tcPr>
            <w:tcW w:w="868" w:type="dxa"/>
            <w:vAlign w:val="center"/>
          </w:tcPr>
          <w:p w14:paraId="554D9C57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2CD0B7F8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7F734344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5F7526BA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34C10AA1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26B1D04C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70B92224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0CB51791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5E358FAA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2602B4BA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8E73E97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18822871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394C2A2A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724D67C4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1D07101E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</w:tr>
      <w:tr w14:paraId="791C1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1157" w:type="dxa"/>
            <w:vAlign w:val="center"/>
          </w:tcPr>
          <w:p w14:paraId="63A9A9D0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建筑工程</w:t>
            </w:r>
          </w:p>
        </w:tc>
        <w:tc>
          <w:tcPr>
            <w:tcW w:w="868" w:type="dxa"/>
            <w:vAlign w:val="center"/>
          </w:tcPr>
          <w:p w14:paraId="55E104CB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1CBC45CB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45B7265E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586B8A70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21A4D790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2F5ECD4E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3C5C3439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5DC0C2D0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67107C20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3DD9CDD6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9365A91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4FA189C0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3FD40D72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60EFD077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1B0B2773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</w:tr>
      <w:tr w14:paraId="31A7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1157" w:type="dxa"/>
            <w:vAlign w:val="center"/>
          </w:tcPr>
          <w:p w14:paraId="6C799ABF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食品</w:t>
            </w:r>
          </w:p>
        </w:tc>
        <w:tc>
          <w:tcPr>
            <w:tcW w:w="868" w:type="dxa"/>
            <w:vAlign w:val="center"/>
          </w:tcPr>
          <w:p w14:paraId="056B218E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4913032B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044B8A2E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739C1E53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27DFD230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58DC1725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7B944D88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322651C9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5A19572E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6EE5FB12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7CA4EE4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50FCFAAE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07FC82FE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5CDB7B3F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6BA43079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</w:tr>
      <w:tr w14:paraId="5C517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1157" w:type="dxa"/>
            <w:vAlign w:val="center"/>
          </w:tcPr>
          <w:p w14:paraId="69FD3B84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采矿冶金</w:t>
            </w:r>
          </w:p>
        </w:tc>
        <w:tc>
          <w:tcPr>
            <w:tcW w:w="868" w:type="dxa"/>
            <w:vAlign w:val="center"/>
          </w:tcPr>
          <w:p w14:paraId="472068EB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405FA049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28E17AD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0A144217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45B89089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26F8A7FB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75DFE624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22ADC6D2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307654E5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0A79186A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9DA8921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37B13B59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72F67C43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79E09CAC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680DDCB8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</w:tr>
      <w:tr w14:paraId="5AC6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1" w:hRule="atLeast"/>
          <w:jc w:val="center"/>
        </w:trPr>
        <w:tc>
          <w:tcPr>
            <w:tcW w:w="1157" w:type="dxa"/>
            <w:vAlign w:val="center"/>
          </w:tcPr>
          <w:p w14:paraId="75F64506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水利水质</w:t>
            </w:r>
          </w:p>
        </w:tc>
        <w:tc>
          <w:tcPr>
            <w:tcW w:w="868" w:type="dxa"/>
            <w:vAlign w:val="center"/>
          </w:tcPr>
          <w:p w14:paraId="7D90F61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0EFCCE6A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3E242EE6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3F8A8537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589615D2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63F4C8B0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65662DB9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076EEFC9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41194931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429C0A23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FF9564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7A81D94A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44912391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235BF663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5F8FA123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</w:tr>
      <w:tr w14:paraId="5A0E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1157" w:type="dxa"/>
            <w:vAlign w:val="center"/>
          </w:tcPr>
          <w:p w14:paraId="1D459777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医疗器械</w:t>
            </w:r>
          </w:p>
        </w:tc>
        <w:tc>
          <w:tcPr>
            <w:tcW w:w="868" w:type="dxa"/>
            <w:vAlign w:val="center"/>
          </w:tcPr>
          <w:p w14:paraId="0FE1F37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03422B64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0F09309C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418FF6BB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3A27358E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44B809F6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06D744E4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76E681D1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6F90A85C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0D4B1CC4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0DF3C4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12D6F09F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6E2EE05F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378DC89A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4C7F90D2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</w:tr>
      <w:tr w14:paraId="7DE0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2" w:hRule="atLeast"/>
          <w:jc w:val="center"/>
        </w:trPr>
        <w:tc>
          <w:tcPr>
            <w:tcW w:w="1157" w:type="dxa"/>
            <w:vAlign w:val="center"/>
          </w:tcPr>
          <w:p w14:paraId="20E8DCFC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化妆品</w:t>
            </w:r>
          </w:p>
        </w:tc>
        <w:tc>
          <w:tcPr>
            <w:tcW w:w="868" w:type="dxa"/>
            <w:vAlign w:val="center"/>
          </w:tcPr>
          <w:p w14:paraId="31F222D0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74D5F688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59933816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60F4F6A7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45252994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61731D68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1313A9F9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6F7E12AE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5090735A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044F9E3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8FBCEEF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3E59CF68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1848222C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09DFBC89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6A988C16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</w:tr>
      <w:tr w14:paraId="0E93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77" w:hRule="atLeast"/>
          <w:jc w:val="center"/>
        </w:trPr>
        <w:tc>
          <w:tcPr>
            <w:tcW w:w="1157" w:type="dxa"/>
            <w:vAlign w:val="center"/>
          </w:tcPr>
          <w:p w14:paraId="291FD463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司法鉴定</w:t>
            </w:r>
          </w:p>
        </w:tc>
        <w:tc>
          <w:tcPr>
            <w:tcW w:w="868" w:type="dxa"/>
            <w:vAlign w:val="center"/>
          </w:tcPr>
          <w:p w14:paraId="3DC48328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31450318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639B0219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562E6762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0431EE20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32653808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1415A111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3CA165B1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350C31A3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5442EF7A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4270D4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58FA7608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25E760B4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4190DD09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133D0B65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</w:tr>
      <w:tr w14:paraId="2E4C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77" w:hRule="atLeast"/>
          <w:jc w:val="center"/>
        </w:trPr>
        <w:tc>
          <w:tcPr>
            <w:tcW w:w="1157" w:type="dxa"/>
            <w:vAlign w:val="center"/>
          </w:tcPr>
          <w:p w14:paraId="1DA66E5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珠宝玉石</w:t>
            </w:r>
          </w:p>
        </w:tc>
        <w:tc>
          <w:tcPr>
            <w:tcW w:w="868" w:type="dxa"/>
            <w:vAlign w:val="center"/>
          </w:tcPr>
          <w:p w14:paraId="1A64D661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03DBBEE3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48F09FCE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4D24D23C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1DC618AB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7BD38BF8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452D8623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724B61B3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3F3DDB89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32E02A0B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3D80CC0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7FEB576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4BD5542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031ABE0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5C05CFCE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</w:tr>
      <w:tr w14:paraId="1EFEC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1157" w:type="dxa"/>
            <w:vAlign w:val="center"/>
          </w:tcPr>
          <w:p w14:paraId="2CC0E4B3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综合</w:t>
            </w:r>
          </w:p>
        </w:tc>
        <w:tc>
          <w:tcPr>
            <w:tcW w:w="868" w:type="dxa"/>
            <w:vAlign w:val="center"/>
          </w:tcPr>
          <w:p w14:paraId="06D85270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4BAFC30F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37CCAEEE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2A70774F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4600FE74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0547CB2E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43C0E12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55B2C5A8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5245F8D7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085801A8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8506EF3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261552C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7957CED0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435028BA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0698ED64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</w:tr>
      <w:tr w14:paraId="05F83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3" w:hRule="atLeast"/>
          <w:jc w:val="center"/>
        </w:trPr>
        <w:tc>
          <w:tcPr>
            <w:tcW w:w="1157" w:type="dxa"/>
            <w:vAlign w:val="center"/>
          </w:tcPr>
          <w:p w14:paraId="5CF2B6F8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68" w:type="dxa"/>
            <w:vAlign w:val="center"/>
          </w:tcPr>
          <w:p w14:paraId="4B487848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132CEC05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19B10DCC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6965E909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556B4904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086433A2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525EEAEC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27685612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629EFDEF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00B8F4A7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173F0A9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66219DD5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2617C48C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60FCF655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54E8B0CA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</w:tr>
      <w:tr w14:paraId="1DBF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1157" w:type="dxa"/>
            <w:vAlign w:val="center"/>
          </w:tcPr>
          <w:p w14:paraId="1EC8B4A8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总数</w:t>
            </w:r>
          </w:p>
        </w:tc>
        <w:tc>
          <w:tcPr>
            <w:tcW w:w="868" w:type="dxa"/>
            <w:vAlign w:val="center"/>
          </w:tcPr>
          <w:p w14:paraId="6842DE4D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2F27760B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5EAC1FE2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431135A2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18911A20">
            <w:pPr>
              <w:widowControl/>
              <w:overflowPunct/>
              <w:topLinePunct w:val="0"/>
              <w:spacing w:line="300" w:lineRule="exact"/>
              <w:ind w:firstLine="0" w:firstLineChars="0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3B45D1F4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3546226C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38150459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12B4369B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4DB88F27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71E8367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3082D607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3A1B82B9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3B5D529B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1FE229E4">
            <w:pPr>
              <w:widowControl/>
              <w:overflowPunct/>
              <w:topLinePunct w:val="0"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Times New Roman"/>
                <w:color w:val="000000"/>
                <w:sz w:val="21"/>
                <w:szCs w:val="21"/>
              </w:rPr>
            </w:pPr>
          </w:p>
        </w:tc>
      </w:tr>
    </w:tbl>
    <w:p w14:paraId="0C8A0874">
      <w:pPr>
        <w:overflowPunct/>
        <w:topLinePunct w:val="0"/>
        <w:spacing w:line="320" w:lineRule="exact"/>
        <w:ind w:firstLine="0" w:firstLineChars="0"/>
        <w:rPr>
          <w:rFonts w:eastAsia="楷体_GB2312" w:cs="方正仿宋_GBK"/>
          <w:bCs/>
          <w:color w:val="000000"/>
          <w:sz w:val="24"/>
        </w:rPr>
      </w:pPr>
      <w:r>
        <w:rPr>
          <w:rFonts w:eastAsia="楷体_GB2312" w:cs="方正仿宋_GBK"/>
          <w:bCs/>
          <w:color w:val="000000"/>
          <w:sz w:val="24"/>
        </w:rPr>
        <w:t>填表说明：</w:t>
      </w:r>
    </w:p>
    <w:p w14:paraId="5E017F64">
      <w:pPr>
        <w:overflowPunct/>
        <w:topLinePunct w:val="0"/>
        <w:spacing w:line="400" w:lineRule="exact"/>
        <w:ind w:firstLine="480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hint="eastAsia" w:ascii="Times New Roman" w:hAnsi="Times New Roman"/>
          <w:color w:val="000000"/>
          <w:sz w:val="24"/>
        </w:rPr>
        <w:t>上报表格请用Excel表格填报。</w:t>
      </w:r>
    </w:p>
    <w:p w14:paraId="1998E4A0">
      <w:pPr>
        <w:overflowPunct/>
        <w:topLinePunct w:val="0"/>
        <w:spacing w:line="400" w:lineRule="exact"/>
        <w:ind w:firstLine="480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2.“全年检验检测机构监督检查情况”是当地全年双随机、专项检查、投诉举报</w:t>
      </w:r>
      <w:r>
        <w:rPr>
          <w:rFonts w:hint="eastAsia" w:ascii="Times New Roman" w:hAnsi="Times New Roman"/>
          <w:color w:val="000000"/>
          <w:sz w:val="24"/>
          <w:lang w:eastAsia="zh-CN"/>
        </w:rPr>
        <w:t>等</w:t>
      </w:r>
      <w:r>
        <w:rPr>
          <w:rFonts w:hint="eastAsia" w:ascii="Times New Roman" w:hAnsi="Times New Roman"/>
          <w:color w:val="000000"/>
          <w:sz w:val="24"/>
        </w:rPr>
        <w:t>检查的总和。</w:t>
      </w:r>
    </w:p>
    <w:p w14:paraId="317EE62D">
      <w:pPr>
        <w:overflowPunct/>
        <w:topLinePunct w:val="0"/>
        <w:spacing w:line="400" w:lineRule="exact"/>
        <w:ind w:firstLine="480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3.“双随机监督抽查”中“现场抽查机构数”是对应领域现场监督检查数量；“抽取比例”是“对应领域现场检查机构数”占当地“对应领域所有机构数”的比例；占“占本年度监督检查机构比例”是“对应领域现场检查机构数”占当地“全年所有领域现场检查机构数”的比例。</w:t>
      </w:r>
    </w:p>
    <w:p w14:paraId="3B736079">
      <w:pPr>
        <w:overflowPunct/>
        <w:topLinePunct w:val="0"/>
        <w:spacing w:line="400" w:lineRule="exact"/>
        <w:ind w:firstLine="480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hint="eastAsia" w:ascii="Times New Roman" w:hAnsi="Times New Roman"/>
          <w:color w:val="000000"/>
          <w:sz w:val="24"/>
        </w:rPr>
        <w:t>食品领域是指单一只具备食品检验资质的机构，如果机构还有其他检验项目，则列入综合</w:t>
      </w:r>
      <w:r>
        <w:rPr>
          <w:rFonts w:hint="eastAsia" w:ascii="Times New Roman" w:hAnsi="Times New Roman"/>
          <w:color w:val="000000"/>
          <w:sz w:val="24"/>
          <w:shd w:val="clear" w:color="auto" w:fill="FFFFFF"/>
        </w:rPr>
        <w:t>或</w:t>
      </w:r>
      <w:r>
        <w:rPr>
          <w:rFonts w:hint="eastAsia" w:ascii="Times New Roman" w:hAnsi="Times New Roman"/>
          <w:color w:val="000000"/>
          <w:sz w:val="24"/>
          <w:shd w:val="clear" w:color="auto" w:fill="FFFFFF"/>
          <w:lang w:eastAsia="zh-CN"/>
        </w:rPr>
        <w:t>其他</w:t>
      </w:r>
      <w:r>
        <w:rPr>
          <w:rFonts w:hint="eastAsia" w:ascii="Times New Roman" w:hAnsi="Times New Roman"/>
          <w:color w:val="000000"/>
          <w:spacing w:val="-6"/>
          <w:sz w:val="24"/>
          <w:shd w:val="clear" w:color="auto" w:fill="FFFFFF"/>
        </w:rPr>
        <w:t>项</w:t>
      </w:r>
      <w:r>
        <w:rPr>
          <w:rFonts w:hint="eastAsia" w:ascii="Times New Roman" w:hAnsi="Times New Roman"/>
          <w:color w:val="000000"/>
          <w:spacing w:val="-6"/>
          <w:sz w:val="24"/>
        </w:rPr>
        <w:t>（化妆品同）；建材</w:t>
      </w:r>
      <w:r>
        <w:rPr>
          <w:rFonts w:hint="eastAsia" w:ascii="Times New Roman" w:hAnsi="Times New Roman"/>
          <w:color w:val="000000"/>
          <w:sz w:val="24"/>
        </w:rPr>
        <w:t>领域是指单一具备建材检验资质的机构，如果是建筑工程质量检验含有建材检验资质的，统一归进建筑工程领域。</w:t>
      </w:r>
    </w:p>
    <w:p w14:paraId="6E2E7A44">
      <w:pPr>
        <w:overflowPunct/>
        <w:topLinePunct w:val="0"/>
        <w:spacing w:line="400" w:lineRule="exact"/>
        <w:ind w:firstLine="480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5.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hint="eastAsia" w:ascii="Times New Roman" w:hAnsi="Times New Roman"/>
          <w:color w:val="000000"/>
          <w:sz w:val="24"/>
        </w:rPr>
        <w:t>只要未列入所列举领域的机构都填报在</w:t>
      </w:r>
      <w:r>
        <w:rPr>
          <w:rFonts w:hint="eastAsia" w:ascii="Times New Roman" w:hAnsi="Times New Roman"/>
          <w:color w:val="000000"/>
          <w:sz w:val="24"/>
          <w:lang w:eastAsia="zh-CN"/>
        </w:rPr>
        <w:t>其他</w:t>
      </w:r>
      <w:r>
        <w:rPr>
          <w:rFonts w:hint="eastAsia" w:ascii="Times New Roman" w:hAnsi="Times New Roman"/>
          <w:color w:val="000000"/>
          <w:sz w:val="24"/>
          <w:shd w:val="clear" w:color="auto" w:fill="FFFFFF"/>
        </w:rPr>
        <w:t>项</w:t>
      </w:r>
      <w:r>
        <w:rPr>
          <w:rFonts w:hint="eastAsia" w:ascii="Times New Roman" w:hAnsi="Times New Roman"/>
          <w:color w:val="000000"/>
          <w:sz w:val="24"/>
        </w:rPr>
        <w:t>。</w:t>
      </w:r>
    </w:p>
    <w:p w14:paraId="152DB3A1">
      <w:pPr>
        <w:overflowPunct/>
        <w:topLinePunct w:val="0"/>
        <w:spacing w:line="400" w:lineRule="exact"/>
        <w:ind w:firstLine="480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6.“查处违法违规行为”是立案查处机构数量，“责令改正/整改”是除立案查处以外的下发责令改正通知书的机构数量。</w:t>
      </w:r>
    </w:p>
    <w:p w14:paraId="2F0F9FDD">
      <w:pPr>
        <w:overflowPunct/>
        <w:topLinePunct w:val="0"/>
        <w:spacing w:line="240" w:lineRule="auto"/>
        <w:ind w:firstLine="480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7.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hint="eastAsia" w:ascii="Times New Roman" w:hAnsi="Times New Roman"/>
          <w:color w:val="000000"/>
          <w:sz w:val="24"/>
        </w:rPr>
        <w:t>每家机构只统计一个领域，不重复统计进不同领域。</w:t>
      </w:r>
    </w:p>
    <w:p w14:paraId="7DAAB839"/>
    <w:sectPr>
      <w:pgSz w:w="16838" w:h="11906" w:orient="landscape"/>
      <w:pgMar w:top="1587" w:right="2098" w:bottom="1417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TY4ZTc0ZGEwYjhlODhlZWFkOTRmNmZiZWZiNDQifQ=="/>
  </w:docVars>
  <w:rsids>
    <w:rsidRoot w:val="6ACD3B7F"/>
    <w:rsid w:val="1F297292"/>
    <w:rsid w:val="612E01D9"/>
    <w:rsid w:val="613063D1"/>
    <w:rsid w:val="6AC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spacing w:line="592" w:lineRule="exact"/>
      <w:ind w:firstLine="200" w:firstLineChars="20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eastAsia="方正小标宋简体" w:cstheme="minorBidi"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pPr>
      <w:ind w:firstLine="640"/>
    </w:pPr>
    <w:rPr>
      <w:rFonts w:ascii="Times New Roman" w:hAnsi="Times New Roman" w:cs="Courier New"/>
      <w:szCs w:val="21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pacing w:line="434" w:lineRule="exact"/>
    </w:pPr>
    <w:rPr>
      <w:rFonts w:eastAsia="黑体" w:cstheme="minorBidi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cstheme="minorBidi"/>
      <w:sz w:val="18"/>
      <w:szCs w:val="18"/>
    </w:rPr>
  </w:style>
  <w:style w:type="paragraph" w:customStyle="1" w:styleId="8">
    <w:name w:val="黑体附件"/>
    <w:basedOn w:val="1"/>
    <w:qFormat/>
    <w:uiPriority w:val="99"/>
    <w:pPr>
      <w:ind w:firstLine="0" w:firstLineChars="0"/>
      <w:jc w:val="left"/>
    </w:pPr>
    <w:rPr>
      <w:rFonts w:ascii="黑体" w:hAnsi="黑体" w:eastAsia="黑体"/>
      <w:szCs w:val="21"/>
    </w:rPr>
  </w:style>
  <w:style w:type="paragraph" w:customStyle="1" w:styleId="9">
    <w:name w:val="正文1磅"/>
    <w:basedOn w:val="1"/>
    <w:qFormat/>
    <w:uiPriority w:val="0"/>
    <w:pPr>
      <w:spacing w:line="20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686</Characters>
  <Lines>0</Lines>
  <Paragraphs>0</Paragraphs>
  <TotalTime>0</TotalTime>
  <ScaleCrop>false</ScaleCrop>
  <LinksUpToDate>false</LinksUpToDate>
  <CharactersWithSpaces>690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2025-04-30T01:56:00Z</dcterms:created>
  <dc:creator>解媛幈</dc:creator>
  <cp:lastModifiedBy>张景怡</cp:lastModifiedBy>
  <dcterms:modified xsi:type="dcterms:W3CDTF">2025-05-16T01:42:27Z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F2C85A72709E4F8088505157A1834D3F_13</vt:lpwstr>
  </property>
</Properties>
</file>