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sz w:val="32"/>
          <w:szCs w:val="22"/>
          <w:highlight w:val="non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2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2"/>
          <w:highlight w:val="none"/>
          <w:lang w:val="en-US" w:eastAsia="zh-CN"/>
        </w:rPr>
        <w:t>4</w:t>
      </w:r>
    </w:p>
    <w:p>
      <w:pPr>
        <w:pStyle w:val="3"/>
        <w:rPr>
          <w:rFonts w:hint="eastAsia" w:ascii="方正小标宋_GBK" w:hAnsi="方正小标宋_GBK" w:eastAsia="方正小标宋_GBK" w:cs="方正小标宋_GBK"/>
          <w:highlight w:val="none"/>
        </w:rPr>
      </w:pPr>
      <w:r>
        <w:rPr>
          <w:rFonts w:hint="eastAsia" w:ascii="方正小标宋_GBK" w:hAnsi="方正小标宋_GBK" w:eastAsia="方正小标宋_GBK" w:cs="方正小标宋_GBK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highlight w:val="none"/>
        </w:rPr>
        <w:t>年度检验检测机构监督检查信息统计表</w:t>
      </w:r>
    </w:p>
    <w:tbl>
      <w:tblPr>
        <w:tblStyle w:val="5"/>
        <w:tblW w:w="14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678"/>
        <w:gridCol w:w="985"/>
        <w:gridCol w:w="900"/>
        <w:gridCol w:w="859"/>
        <w:gridCol w:w="860"/>
        <w:gridCol w:w="763"/>
        <w:gridCol w:w="789"/>
        <w:gridCol w:w="902"/>
        <w:gridCol w:w="832"/>
        <w:gridCol w:w="600"/>
        <w:gridCol w:w="951"/>
        <w:gridCol w:w="794"/>
        <w:gridCol w:w="846"/>
        <w:gridCol w:w="804"/>
        <w:gridCol w:w="90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领域</w:t>
            </w:r>
          </w:p>
        </w:tc>
        <w:tc>
          <w:tcPr>
            <w:tcW w:w="98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部门联合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eastAsia="zh-CN"/>
              </w:rPr>
              <w:t>检查数量</w:t>
            </w:r>
          </w:p>
        </w:tc>
        <w:tc>
          <w:tcPr>
            <w:tcW w:w="5073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全年检验检测机构监督检查情况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（包括批办、投诉、信访、“双随机、一公开”等）</w:t>
            </w:r>
          </w:p>
        </w:tc>
        <w:tc>
          <w:tcPr>
            <w:tcW w:w="6505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“双随机、一公开”监督抽查情况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highlight w:val="none"/>
              </w:rPr>
              <w:t>现场检查机构数（家）</w:t>
            </w:r>
          </w:p>
        </w:tc>
        <w:tc>
          <w:tcPr>
            <w:tcW w:w="32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</w:rPr>
              <w:t>处理/处罚情况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移送司法机关（起）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</w:rPr>
              <w:t>抽取情况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</w:rPr>
              <w:t>处理/处罚情况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移送司法机关（起）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0" w:hRule="atLeast"/>
          <w:jc w:val="center"/>
        </w:trPr>
        <w:tc>
          <w:tcPr>
            <w:tcW w:w="16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查处违法违规行为（起）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其中：责令改正/整改（家）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撤销/注销（家）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罚没款（万元）</w:t>
            </w:r>
          </w:p>
        </w:tc>
        <w:tc>
          <w:tcPr>
            <w:tcW w:w="9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现场抽查机构数（家次）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抽取比例（%）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占本年度监督检查机构比例（%）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查办违法违规行为数量（起）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其中：责令改正/整改（家）</w:t>
            </w:r>
          </w:p>
        </w:tc>
        <w:tc>
          <w:tcPr>
            <w:tcW w:w="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撤销/注销（家）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罚没款（万元）</w:t>
            </w:r>
          </w:p>
        </w:tc>
        <w:tc>
          <w:tcPr>
            <w:tcW w:w="7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生态环境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机动车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建材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建筑工程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食品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采矿冶金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1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水利水质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医疗器械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2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化妆品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7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司法鉴定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7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珠宝玉石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综合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总数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rPr>
          <w:rFonts w:hint="default" w:ascii="宋体" w:hAnsi="宋体" w:eastAsia="方正仿宋_GBK" w:cs="方正仿宋_GBK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方正仿宋_GBK" w:cs="方正仿宋_GBK"/>
          <w:b/>
          <w:bCs/>
          <w:sz w:val="24"/>
          <w:szCs w:val="24"/>
          <w:highlight w:val="no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上报表格请用Excel表格填报。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2.“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全年检验检测机构监督检查情况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是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当地全年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双随机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专项检查、投诉举报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shd w:val="clear" w:color="auto" w:fill="FFFFFF"/>
          <w:lang w:val="en-US" w:eastAsia="zh-CN"/>
        </w:rPr>
        <w:t>等等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检查的总和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双随机监督抽查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“现场抽查机构数”是对应领域现场监督检查数量；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“抽取比例”是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“对应领域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现场检查机构数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占当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textAlignment w:val="auto"/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地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对应领域所有机构数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的比例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占“占本年度监督检查机构比例”是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对应领域现场检查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机构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数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占当地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全年所有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textAlignment w:val="auto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现场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检查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机构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数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的比例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食品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领域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是指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单一只具备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食品检验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资质的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机构，如果机构还有其他检验项目，则列入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综合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shd w:val="clear" w:color="auto" w:fill="FFFFFF"/>
          <w:lang w:val="en-US" w:eastAsia="zh-CN"/>
        </w:rPr>
        <w:t>或</w:t>
      </w:r>
      <w:r>
        <w:rPr>
          <w:rFonts w:hint="eastAsia" w:ascii="宋体" w:hAnsi="宋体" w:eastAsia="方正仿宋_GBK" w:cs="方正仿宋_GBK"/>
          <w:spacing w:val="-6"/>
          <w:sz w:val="24"/>
          <w:szCs w:val="24"/>
          <w:highlight w:val="none"/>
          <w:shd w:val="clear" w:color="auto" w:fill="FFFFFF"/>
          <w:lang w:val="en-US" w:eastAsia="zh-CN"/>
        </w:rPr>
        <w:t>其它项</w:t>
      </w:r>
      <w:r>
        <w:rPr>
          <w:rFonts w:hint="default" w:ascii="宋体" w:hAnsi="宋体" w:eastAsia="方正仿宋_GBK" w:cs="方正仿宋_GBK"/>
          <w:spacing w:val="-6"/>
          <w:sz w:val="24"/>
          <w:szCs w:val="24"/>
          <w:highlight w:val="none"/>
          <w:lang w:val="en-US" w:eastAsia="zh-CN"/>
        </w:rPr>
        <w:t>（化妆品同）</w:t>
      </w:r>
      <w:r>
        <w:rPr>
          <w:rFonts w:hint="eastAsia" w:ascii="宋体" w:hAnsi="宋体" w:eastAsia="方正仿宋_GBK" w:cs="方正仿宋_GBK"/>
          <w:spacing w:val="-6"/>
          <w:sz w:val="24"/>
          <w:szCs w:val="24"/>
          <w:highlight w:val="none"/>
          <w:lang w:val="en-US" w:eastAsia="zh-CN"/>
        </w:rPr>
        <w:t>；建材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领域是指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textAlignment w:val="auto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单一具备建材检验资质的机构，如果是建筑工程质量检验含有建材检验资质的，统一归进建筑工程领域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只要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未列入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所列举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领域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的机构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都填报</w:t>
      </w: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在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shd w:val="clear" w:color="auto" w:fill="FFFFFF"/>
          <w:lang w:val="en-US" w:eastAsia="zh-CN"/>
        </w:rPr>
        <w:t>其它项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6.“查处违法违规行为”是立案查处机构数量，“责令改正/整改”是除立案查处以外的下发责令改正通知书的机构数量。</w:t>
      </w:r>
    </w:p>
    <w:p>
      <w:pPr>
        <w:ind w:firstLine="480" w:firstLineChars="200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val="en-US" w:eastAsia="zh-CN"/>
        </w:rPr>
        <w:t>7.</w:t>
      </w:r>
      <w:r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  <w:t>每家机构只统计一个领域，不重复统计进不同领域。</w:t>
      </w:r>
    </w:p>
    <w:p>
      <w:pPr>
        <w:pStyle w:val="2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eastAsia="方正仿宋_GBK" w:cs="方正仿宋_GBK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17" w:left="1474" w:header="851" w:footer="124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64CA5"/>
    <w:rsid w:val="18564CA5"/>
    <w:rsid w:val="27080A83"/>
    <w:rsid w:val="2C2D04D5"/>
    <w:rsid w:val="2EA84835"/>
    <w:rsid w:val="384C76B0"/>
    <w:rsid w:val="417D6179"/>
    <w:rsid w:val="4F9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spacing w:line="240" w:lineRule="auto"/>
      <w:jc w:val="center"/>
      <w:outlineLvl w:val="0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2024-04-19T07:52:00Z</dcterms:created>
  <dc:creator>解媛幈【办公室】</dc:creator>
  <cp:lastModifiedBy>DAS.AUTO</cp:lastModifiedBy>
  <dcterms:modified xsi:type="dcterms:W3CDTF">2024-04-24T08:14:23Z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C084DD02BC24435E933787D87E79B19A_13</vt:lpwstr>
  </property>
</Properties>
</file>