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pacing w:val="20"/>
          <w:w w:val="105"/>
          <w:sz w:val="28"/>
          <w:szCs w:val="28"/>
        </w:rPr>
      </w:pPr>
      <w:r>
        <w:rPr>
          <w:rFonts w:hint="eastAsia" w:ascii="黑体" w:hAnsi="宋体" w:eastAsia="黑体"/>
          <w:color w:val="000000"/>
          <w:spacing w:val="20"/>
          <w:w w:val="105"/>
          <w:sz w:val="52"/>
          <w:szCs w:val="52"/>
          <w:lang w:eastAsia="zh-CN"/>
        </w:rPr>
        <w:t>昆明市产品</w:t>
      </w:r>
      <w:r>
        <w:rPr>
          <w:rFonts w:hint="eastAsia" w:ascii="黑体" w:hAnsi="宋体" w:eastAsia="黑体"/>
          <w:color w:val="000000"/>
          <w:spacing w:val="20"/>
          <w:w w:val="105"/>
          <w:sz w:val="52"/>
          <w:szCs w:val="52"/>
        </w:rPr>
        <w:t>质量监督抽查实施细则</w:t>
      </w:r>
    </w:p>
    <w:p>
      <w:pPr>
        <w:wordWrap w:val="0"/>
        <w:spacing w:before="240"/>
        <w:ind w:right="420"/>
        <w:jc w:val="right"/>
        <w:rPr>
          <w:rFonts w:ascii="黑体" w:hAnsi="宋体" w:eastAsia="黑体"/>
          <w:color w:val="000000"/>
          <w:sz w:val="28"/>
          <w:szCs w:val="28"/>
          <w:highlight w:val="none"/>
        </w:rPr>
      </w:pPr>
      <w:r>
        <w:rPr>
          <w:rFonts w:ascii="宋体" w:hAnsi="宋体"/>
          <w:color w:val="000000"/>
          <w:szCs w:val="21"/>
          <w:highlight w:val="none"/>
        </w:rPr>
        <mc:AlternateContent>
          <mc:Choice Requires="wps">
            <w:drawing>
              <wp:anchor distT="0" distB="0" distL="114300" distR="114300" simplePos="0" relativeHeight="251661312" behindDoc="0" locked="0" layoutInCell="1" allowOverlap="1">
                <wp:simplePos x="0" y="0"/>
                <wp:positionH relativeFrom="column">
                  <wp:posOffset>342900</wp:posOffset>
                </wp:positionH>
                <wp:positionV relativeFrom="paragraph">
                  <wp:posOffset>494665</wp:posOffset>
                </wp:positionV>
                <wp:extent cx="5257800" cy="635"/>
                <wp:effectExtent l="0" t="0" r="0" b="0"/>
                <wp:wrapNone/>
                <wp:docPr id="2" name="Line 2"/>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27pt;margin-top:38.95pt;height:0.05pt;width:414pt;z-index:251661312;mso-width-relative:page;mso-height-relative:page;" filled="f" stroked="t" coordsize="21600,21600" o:gfxdata="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ihloUtYAAAAIAQAADwAAAAAAAAABACAAAAAiAAAAZHJzL2Rvd25yZXYueG1s&#10;UEsBAhQAFAAAAAgAh07iQMvS5RzBAQAAjQMAAA4AAAAAAAAAAQAgAAAAJQEAAGRycy9lMm9Eb2Mu&#10;eG1sUEsFBgAAAAAGAAYAWQEAAFgFAAAAAA==&#10;">
                <v:fill on="f" focussize="0,0"/>
                <v:stroke color="#000000" joinstyle="round"/>
                <v:imagedata o:title=""/>
                <o:lock v:ext="edit" aspectratio="f"/>
              </v:line>
            </w:pict>
          </mc:Fallback>
        </mc:AlternateContent>
      </w:r>
      <w:r>
        <w:rPr>
          <w:rFonts w:hint="eastAsia" w:ascii="黑体" w:hAnsi="宋体" w:eastAsia="黑体"/>
          <w:color w:val="000000"/>
          <w:sz w:val="28"/>
          <w:szCs w:val="28"/>
          <w:highlight w:val="none"/>
        </w:rPr>
        <w:t xml:space="preserve">KMCCXZ </w:t>
      </w:r>
      <w:r>
        <w:rPr>
          <w:rFonts w:hint="eastAsia" w:ascii="黑体" w:hAnsi="宋体" w:eastAsia="黑体"/>
          <w:color w:val="000000"/>
          <w:sz w:val="28"/>
          <w:szCs w:val="28"/>
          <w:highlight w:val="none"/>
          <w:lang w:val="en-US" w:eastAsia="zh-CN"/>
        </w:rPr>
        <w:t>6</w:t>
      </w:r>
      <w:r>
        <w:rPr>
          <w:rFonts w:hint="eastAsia" w:ascii="黑体" w:hAnsi="宋体" w:eastAsia="黑体"/>
          <w:color w:val="000000"/>
          <w:sz w:val="28"/>
          <w:szCs w:val="28"/>
          <w:highlight w:val="none"/>
        </w:rPr>
        <w:t>-2020</w:t>
      </w:r>
    </w:p>
    <w:p>
      <w:pPr>
        <w:rPr>
          <w:rFonts w:ascii="宋体" w:hAnsi="宋体"/>
          <w:color w:val="000000"/>
          <w:szCs w:val="21"/>
        </w:rPr>
      </w:pPr>
    </w:p>
    <w:p>
      <w:pPr>
        <w:jc w:val="center"/>
        <w:rPr>
          <w:color w:val="000000"/>
        </w:rPr>
      </w:pPr>
    </w:p>
    <w:p>
      <w:pPr>
        <w:jc w:val="center"/>
        <w:rPr>
          <w:color w:val="000000"/>
        </w:rPr>
      </w:pPr>
    </w:p>
    <w:p>
      <w:pPr>
        <w:jc w:val="center"/>
        <w:rPr>
          <w:color w:val="000000"/>
        </w:rPr>
      </w:pPr>
    </w:p>
    <w:p>
      <w:pPr>
        <w:jc w:val="center"/>
        <w:rPr>
          <w:color w:val="000000"/>
        </w:rPr>
      </w:pPr>
    </w:p>
    <w:p>
      <w:pPr>
        <w:jc w:val="center"/>
        <w:rPr>
          <w:rFonts w:hint="eastAsia" w:ascii="黑体" w:hAnsi="黑体" w:eastAsia="黑体" w:cs="黑体"/>
          <w:color w:val="000000"/>
          <w:sz w:val="52"/>
          <w:szCs w:val="52"/>
          <w:lang w:eastAsia="zh-CN"/>
        </w:rPr>
      </w:pPr>
      <w:r>
        <w:rPr>
          <w:rFonts w:hint="eastAsia" w:ascii="黑体" w:hAnsi="黑体" w:eastAsia="黑体" w:cs="黑体"/>
          <w:color w:val="000000"/>
          <w:sz w:val="52"/>
          <w:szCs w:val="52"/>
          <w:lang w:eastAsia="zh-CN"/>
        </w:rPr>
        <w:t>日用化工品</w:t>
      </w:r>
    </w:p>
    <w:p>
      <w:pPr>
        <w:jc w:val="center"/>
        <w:rPr>
          <w:rFonts w:hint="eastAsia" w:ascii="黑体" w:hAnsi="宋体" w:eastAsia="黑体"/>
          <w:color w:val="000000"/>
          <w:sz w:val="52"/>
          <w:szCs w:val="52"/>
          <w:lang w:val="en-US" w:eastAsia="zh-CN"/>
        </w:rPr>
      </w:pPr>
      <w:r>
        <w:rPr>
          <w:rFonts w:hint="eastAsia" w:ascii="黑体" w:hAnsi="宋体" w:eastAsia="黑体"/>
          <w:color w:val="000000"/>
          <w:sz w:val="52"/>
          <w:szCs w:val="52"/>
          <w:lang w:eastAsia="zh-CN"/>
        </w:rPr>
        <w:t>（洗衣粉、</w:t>
      </w:r>
      <w:r>
        <w:rPr>
          <w:rFonts w:hint="eastAsia" w:ascii="黑体" w:hAnsi="宋体" w:eastAsia="黑体"/>
          <w:color w:val="000000"/>
          <w:sz w:val="52"/>
          <w:szCs w:val="52"/>
          <w:lang w:val="en-US" w:eastAsia="zh-CN"/>
        </w:rPr>
        <w:t>衣料用液体洗涤剂</w:t>
      </w:r>
      <w:r>
        <w:rPr>
          <w:rFonts w:hint="eastAsia" w:ascii="黑体" w:hAnsi="宋体" w:eastAsia="黑体"/>
          <w:color w:val="000000"/>
          <w:sz w:val="52"/>
          <w:szCs w:val="52"/>
          <w:lang w:eastAsia="zh-CN"/>
        </w:rPr>
        <w:t>）</w:t>
      </w:r>
      <w:r>
        <w:rPr>
          <w:rFonts w:hint="eastAsia" w:ascii="黑体" w:hAnsi="宋体" w:eastAsia="黑体"/>
          <w:color w:val="000000"/>
          <w:sz w:val="52"/>
          <w:szCs w:val="52"/>
          <w:lang w:val="en-US" w:eastAsia="zh-CN"/>
        </w:rPr>
        <w:t xml:space="preserve"> </w:t>
      </w:r>
    </w:p>
    <w:p>
      <w:pPr>
        <w:jc w:val="center"/>
        <w:rPr>
          <w:color w:val="000000"/>
          <w:sz w:val="28"/>
          <w:szCs w:val="28"/>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both"/>
        <w:rPr>
          <w:color w:val="000000"/>
        </w:rPr>
      </w:pPr>
      <w:bookmarkStart w:id="0" w:name="_GoBack"/>
      <w:bookmarkEnd w:id="0"/>
    </w:p>
    <w:p>
      <w:pPr>
        <w:jc w:val="center"/>
        <w:rPr>
          <w:color w:val="000000"/>
        </w:rPr>
      </w:pPr>
    </w:p>
    <w:p>
      <w:pPr>
        <w:jc w:val="center"/>
        <w:rPr>
          <w:color w:val="000000"/>
        </w:rPr>
      </w:pPr>
    </w:p>
    <w:p>
      <w:pPr>
        <w:ind w:firstLine="420" w:firstLineChars="150"/>
        <w:rPr>
          <w:rFonts w:ascii="黑体" w:hAnsi="宋体" w:eastAsia="黑体"/>
          <w:color w:val="000000"/>
          <w:sz w:val="28"/>
          <w:szCs w:val="28"/>
          <w:highlight w:val="none"/>
          <w:u w:val="thick"/>
        </w:rPr>
      </w:pPr>
      <w:r>
        <w:rPr>
          <w:rFonts w:hint="eastAsia" w:ascii="黑体" w:hAnsi="宋体" w:eastAsia="黑体"/>
          <w:color w:val="000000"/>
          <w:sz w:val="28"/>
          <w:szCs w:val="28"/>
          <w:highlight w:val="none"/>
          <w:u w:val="thick"/>
        </w:rPr>
        <w:t xml:space="preserve">  2020—</w:t>
      </w:r>
      <w:r>
        <w:rPr>
          <w:rFonts w:hint="eastAsia" w:ascii="黑体" w:hAnsi="宋体" w:eastAsia="黑体"/>
          <w:color w:val="000000"/>
          <w:sz w:val="28"/>
          <w:szCs w:val="28"/>
          <w:highlight w:val="none"/>
          <w:u w:val="thick"/>
          <w:lang w:val="en-US" w:eastAsia="zh-CN"/>
        </w:rPr>
        <w:t>6</w:t>
      </w:r>
      <w:r>
        <w:rPr>
          <w:rFonts w:hint="eastAsia" w:ascii="黑体" w:hAnsi="宋体" w:eastAsia="黑体"/>
          <w:color w:val="000000"/>
          <w:sz w:val="28"/>
          <w:szCs w:val="28"/>
          <w:highlight w:val="none"/>
          <w:u w:val="thick"/>
        </w:rPr>
        <w:t>—</w:t>
      </w:r>
      <w:r>
        <w:rPr>
          <w:rFonts w:hint="eastAsia" w:ascii="黑体" w:hAnsi="宋体" w:eastAsia="黑体"/>
          <w:color w:val="000000"/>
          <w:sz w:val="28"/>
          <w:szCs w:val="28"/>
          <w:highlight w:val="none"/>
          <w:u w:val="thick"/>
          <w:lang w:val="en-US" w:eastAsia="zh-CN"/>
        </w:rPr>
        <w:t>12</w:t>
      </w:r>
      <w:r>
        <w:rPr>
          <w:rFonts w:hint="eastAsia" w:ascii="黑体" w:hAnsi="宋体" w:eastAsia="黑体"/>
          <w:color w:val="000000"/>
          <w:sz w:val="28"/>
          <w:szCs w:val="28"/>
          <w:highlight w:val="none"/>
          <w:u w:val="thick"/>
        </w:rPr>
        <w:t>发布                         2020—</w:t>
      </w:r>
      <w:r>
        <w:rPr>
          <w:rFonts w:hint="eastAsia" w:ascii="黑体" w:hAnsi="宋体" w:eastAsia="黑体"/>
          <w:color w:val="000000"/>
          <w:sz w:val="28"/>
          <w:szCs w:val="28"/>
          <w:highlight w:val="none"/>
          <w:u w:val="thick"/>
          <w:lang w:val="en-US" w:eastAsia="zh-CN"/>
        </w:rPr>
        <w:t>6</w:t>
      </w:r>
      <w:r>
        <w:rPr>
          <w:rFonts w:hint="eastAsia" w:ascii="黑体" w:hAnsi="宋体" w:eastAsia="黑体"/>
          <w:color w:val="000000"/>
          <w:sz w:val="28"/>
          <w:szCs w:val="28"/>
          <w:highlight w:val="none"/>
          <w:u w:val="thick"/>
        </w:rPr>
        <w:t>—</w:t>
      </w:r>
      <w:r>
        <w:rPr>
          <w:rFonts w:hint="eastAsia" w:ascii="黑体" w:hAnsi="宋体" w:eastAsia="黑体"/>
          <w:color w:val="000000"/>
          <w:sz w:val="28"/>
          <w:szCs w:val="28"/>
          <w:highlight w:val="none"/>
          <w:u w:val="thick"/>
          <w:lang w:val="en-US" w:eastAsia="zh-CN"/>
        </w:rPr>
        <w:t>12</w:t>
      </w:r>
      <w:r>
        <w:rPr>
          <w:rFonts w:hint="eastAsia" w:ascii="黑体" w:hAnsi="宋体" w:eastAsia="黑体"/>
          <w:color w:val="000000"/>
          <w:sz w:val="28"/>
          <w:szCs w:val="28"/>
          <w:highlight w:val="none"/>
          <w:u w:val="thick"/>
        </w:rPr>
        <w:t xml:space="preserve">实施  </w:t>
      </w:r>
    </w:p>
    <w:p>
      <w:pPr>
        <w:ind w:firstLine="3724" w:firstLineChars="700"/>
        <w:rPr>
          <w:rFonts w:ascii="黑体" w:eastAsia="黑体"/>
          <w:color w:val="000000"/>
          <w:w w:val="148"/>
          <w:sz w:val="36"/>
          <w:szCs w:val="36"/>
        </w:rPr>
      </w:pPr>
    </w:p>
    <w:p>
      <w:pPr>
        <w:ind w:firstLine="1570" w:firstLineChars="748"/>
        <w:rPr>
          <w:rFonts w:ascii="黑体" w:hAnsi="黑体" w:eastAsia="黑体"/>
          <w:color w:val="000000"/>
          <w:u w:val="single"/>
        </w:rPr>
        <w:sectPr>
          <w:headerReference r:id="rId3" w:type="default"/>
          <w:footerReference r:id="rId4" w:type="default"/>
          <w:footerReference r:id="rId5" w:type="even"/>
          <w:pgSz w:w="11906" w:h="16838"/>
          <w:pgMar w:top="1440" w:right="1286" w:bottom="1440" w:left="1440" w:header="851" w:footer="1220" w:gutter="0"/>
          <w:cols w:space="720" w:num="1"/>
          <w:docGrid w:type="lines" w:linePitch="312" w:charSpace="0"/>
        </w:sectPr>
      </w:pPr>
      <w:r>
        <w:rPr>
          <w:rFonts w:ascii="黑体" w:hAnsi="黑体" w:eastAsia="黑体"/>
          <w:color w:val="000000"/>
          <w:u w:val="singl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257800" cy="0"/>
                <wp:effectExtent l="0" t="0" r="0" b="0"/>
                <wp:wrapNone/>
                <wp:docPr id="1" name="Line 3"/>
                <wp:cNvGraphicFramePr/>
                <a:graphic xmlns:a="http://schemas.openxmlformats.org/drawingml/2006/main">
                  <a:graphicData uri="http://schemas.microsoft.com/office/word/2010/wordprocessingShape">
                    <wps:wsp>
                      <wps:cNvCnPr/>
                      <wps:spPr>
                        <a:xfrm>
                          <a:off x="0" y="0"/>
                          <a:ext cx="5257800" cy="0"/>
                        </a:xfrm>
                        <a:prstGeom prst="line">
                          <a:avLst/>
                        </a:prstGeom>
                        <a:ln w="12700" cap="flat" cmpd="sng">
                          <a:solidFill>
                            <a:srgbClr val="FFFFFF"/>
                          </a:solidFill>
                          <a:prstDash val="solid"/>
                          <a:headEnd type="none" w="med" len="med"/>
                          <a:tailEnd type="none" w="med" len="med"/>
                        </a:ln>
                      </wps:spPr>
                      <wps:bodyPr upright="1"/>
                    </wps:wsp>
                  </a:graphicData>
                </a:graphic>
              </wp:anchor>
            </w:drawing>
          </mc:Choice>
          <mc:Fallback>
            <w:pict>
              <v:line id="Line 3" o:spid="_x0000_s1026" o:spt="20" style="position:absolute;left:0pt;margin-left:0pt;margin-top:0pt;height:0pt;width:414pt;z-index:251660288;mso-width-relative:page;mso-height-relative:page;" filled="f" stroked="t" coordsize="21600,21600" o:gfxdata="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kNX0AAAAAIBAAAPAAAAAAAAAAEAIAAAACIAAABkcnMvZG93bnJldi54bWxQSwECFAAU&#10;AAAACACHTuJAGZnJq8ABAACMAwAADgAAAAAAAAABACAAAAAfAQAAZHJzL2Uyb0RvYy54bWxQSwUG&#10;AAAAAAYABgBZAQAAUQUAAAAA&#10;">
                <v:fill on="f" focussize="0,0"/>
                <v:stroke weight="1pt" color="#FFFFFF" joinstyle="round"/>
                <v:imagedata o:title=""/>
                <o:lock v:ext="edit" aspectratio="f"/>
              </v:line>
            </w:pict>
          </mc:Fallback>
        </mc:AlternateContent>
      </w:r>
      <w:r>
        <w:rPr>
          <w:rFonts w:hint="eastAsia" w:ascii="黑体" w:hAnsi="黑体" w:eastAsia="黑体"/>
          <w:color w:val="000000"/>
          <w:w w:val="148"/>
          <w:sz w:val="36"/>
          <w:szCs w:val="36"/>
        </w:rPr>
        <w:t>昆明市市场监督管理局</w:t>
      </w:r>
    </w:p>
    <w:p>
      <w:pPr>
        <w:jc w:val="center"/>
        <w:rPr>
          <w:rFonts w:ascii="黑体" w:hAnsi="宋体" w:eastAsia="黑体"/>
          <w:color w:val="000000"/>
          <w:spacing w:val="20"/>
          <w:w w:val="105"/>
          <w:sz w:val="48"/>
          <w:szCs w:val="48"/>
          <w:highlight w:val="none"/>
        </w:rPr>
      </w:pPr>
      <w:r>
        <w:rPr>
          <w:rFonts w:hint="eastAsia" w:ascii="黑体" w:hAnsi="宋体" w:eastAsia="黑体"/>
          <w:color w:val="000000"/>
          <w:spacing w:val="20"/>
          <w:w w:val="105"/>
          <w:sz w:val="48"/>
          <w:szCs w:val="48"/>
          <w:highlight w:val="none"/>
          <w:lang w:eastAsia="zh-CN"/>
        </w:rPr>
        <w:t>洗衣粉</w:t>
      </w:r>
      <w:r>
        <w:rPr>
          <w:rFonts w:hint="eastAsia" w:ascii="黑体" w:hAnsi="宋体" w:eastAsia="黑体"/>
          <w:color w:val="000000"/>
          <w:spacing w:val="20"/>
          <w:w w:val="105"/>
          <w:sz w:val="48"/>
          <w:szCs w:val="48"/>
          <w:highlight w:val="none"/>
        </w:rPr>
        <w:t>产品质量监督抽查实施细则</w:t>
      </w:r>
    </w:p>
    <w:p>
      <w:pPr>
        <w:wordWrap w:val="0"/>
        <w:spacing w:before="240"/>
        <w:ind w:right="420"/>
        <w:jc w:val="right"/>
        <w:rPr>
          <w:rFonts w:ascii="黑体" w:hAnsi="宋体" w:eastAsia="黑体"/>
          <w:color w:val="000000"/>
          <w:sz w:val="28"/>
          <w:szCs w:val="28"/>
          <w:highlight w:val="none"/>
        </w:rPr>
      </w:pPr>
      <w:r>
        <w:rPr>
          <w:rFonts w:ascii="宋体" w:hAnsi="宋体"/>
          <w:color w:val="000000"/>
          <w:szCs w:val="21"/>
          <w:highlight w:val="none"/>
        </w:rPr>
        <mc:AlternateContent>
          <mc:Choice Requires="wps">
            <w:drawing>
              <wp:anchor distT="0" distB="0" distL="114300" distR="114300" simplePos="0" relativeHeight="251664384" behindDoc="0" locked="0" layoutInCell="1" allowOverlap="1">
                <wp:simplePos x="0" y="0"/>
                <wp:positionH relativeFrom="column">
                  <wp:posOffset>342900</wp:posOffset>
                </wp:positionH>
                <wp:positionV relativeFrom="paragraph">
                  <wp:posOffset>494665</wp:posOffset>
                </wp:positionV>
                <wp:extent cx="5257800" cy="635"/>
                <wp:effectExtent l="0" t="0" r="0" b="0"/>
                <wp:wrapNone/>
                <wp:docPr id="4" name="直线 8"/>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8" o:spid="_x0000_s1026" o:spt="20" style="position:absolute;left:0pt;margin-left:27pt;margin-top:38.95pt;height:0.05pt;width:414pt;z-index:251664384;mso-width-relative:page;mso-height-relative:page;" filled="f" stroked="t" coordsize="21600,21600" o:gfxdata="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ihloUtYAAAAIAQAADwAAAAAAAAABACAAAAAiAAAAZHJz&#10;L2Rvd25yZXYueG1sUEsBAhQAFAAAAAgAh07iQChAl2DNAQAAjwMAAA4AAAAAAAAAAQAgAAAAJQEA&#10;AGRycy9lMm9Eb2MueG1sUEsFBgAAAAAGAAYAWQEAAGQFAAAAAA==&#10;">
                <v:fill on="f" focussize="0,0"/>
                <v:stroke color="#000000" joinstyle="round"/>
                <v:imagedata o:title=""/>
                <o:lock v:ext="edit" aspectratio="f"/>
              </v:line>
            </w:pict>
          </mc:Fallback>
        </mc:AlternateContent>
      </w:r>
      <w:r>
        <w:rPr>
          <w:rFonts w:hint="eastAsia" w:ascii="黑体" w:hAnsi="宋体" w:eastAsia="黑体"/>
          <w:color w:val="000000"/>
          <w:sz w:val="28"/>
          <w:szCs w:val="28"/>
          <w:highlight w:val="none"/>
        </w:rPr>
        <w:t xml:space="preserve">KMCCXZ </w:t>
      </w:r>
      <w:r>
        <w:rPr>
          <w:rFonts w:hint="eastAsia" w:ascii="黑体" w:hAnsi="宋体" w:eastAsia="黑体"/>
          <w:color w:val="000000"/>
          <w:sz w:val="28"/>
          <w:szCs w:val="28"/>
          <w:highlight w:val="none"/>
          <w:lang w:val="en-US" w:eastAsia="zh-CN"/>
        </w:rPr>
        <w:t>6</w:t>
      </w:r>
      <w:r>
        <w:rPr>
          <w:rFonts w:hint="eastAsia" w:ascii="黑体" w:hAnsi="宋体" w:eastAsia="黑体"/>
          <w:color w:val="000000"/>
          <w:sz w:val="28"/>
          <w:szCs w:val="28"/>
          <w:highlight w:val="none"/>
        </w:rPr>
        <w:t>.1-2020</w:t>
      </w:r>
    </w:p>
    <w:p>
      <w:pPr>
        <w:rPr>
          <w:rFonts w:ascii="宋体" w:hAnsi="宋体"/>
          <w:color w:val="000000"/>
          <w:szCs w:val="21"/>
          <w:highlight w:val="none"/>
        </w:rPr>
      </w:pPr>
    </w:p>
    <w:p>
      <w:pPr>
        <w:jc w:val="center"/>
        <w:rPr>
          <w:color w:val="000000"/>
          <w:highlight w:val="none"/>
        </w:rPr>
      </w:pPr>
    </w:p>
    <w:p>
      <w:pPr>
        <w:jc w:val="center"/>
        <w:rPr>
          <w:color w:val="000000"/>
          <w:highlight w:val="none"/>
        </w:rPr>
      </w:pPr>
    </w:p>
    <w:p>
      <w:pPr>
        <w:jc w:val="center"/>
        <w:rPr>
          <w:color w:val="000000"/>
          <w:highlight w:val="none"/>
        </w:rPr>
      </w:pPr>
    </w:p>
    <w:p>
      <w:pPr>
        <w:jc w:val="center"/>
        <w:rPr>
          <w:color w:val="000000"/>
          <w:highlight w:val="none"/>
        </w:rPr>
      </w:pPr>
    </w:p>
    <w:p>
      <w:pPr>
        <w:jc w:val="center"/>
        <w:rPr>
          <w:color w:val="000000"/>
          <w:highlight w:val="none"/>
        </w:rPr>
      </w:pPr>
    </w:p>
    <w:p>
      <w:pPr>
        <w:jc w:val="center"/>
        <w:rPr>
          <w:color w:val="000000"/>
          <w:highlight w:val="none"/>
        </w:rPr>
      </w:pPr>
    </w:p>
    <w:p>
      <w:pPr>
        <w:jc w:val="center"/>
        <w:rPr>
          <w:color w:val="000000"/>
          <w:highlight w:val="none"/>
        </w:rPr>
      </w:pPr>
    </w:p>
    <w:p>
      <w:pPr>
        <w:jc w:val="center"/>
        <w:rPr>
          <w:rFonts w:hint="eastAsia" w:eastAsia="宋体"/>
          <w:color w:val="000000"/>
          <w:highlight w:val="none"/>
          <w:lang w:eastAsia="zh-CN"/>
        </w:rPr>
      </w:pPr>
      <w:r>
        <w:rPr>
          <w:rFonts w:hint="eastAsia" w:ascii="黑体" w:hAnsi="宋体" w:eastAsia="黑体"/>
          <w:color w:val="000000"/>
          <w:sz w:val="52"/>
          <w:szCs w:val="52"/>
          <w:highlight w:val="none"/>
          <w:lang w:eastAsia="zh-CN"/>
        </w:rPr>
        <w:t>洗衣粉</w:t>
      </w:r>
    </w:p>
    <w:p>
      <w:pPr>
        <w:jc w:val="center"/>
        <w:rPr>
          <w:color w:val="000000"/>
          <w:highlight w:val="none"/>
        </w:rPr>
      </w:pPr>
    </w:p>
    <w:p>
      <w:pPr>
        <w:jc w:val="center"/>
        <w:rPr>
          <w:color w:val="000000"/>
          <w:highlight w:val="none"/>
        </w:rPr>
      </w:pPr>
    </w:p>
    <w:p>
      <w:pPr>
        <w:jc w:val="center"/>
        <w:rPr>
          <w:color w:val="000000"/>
          <w:highlight w:val="none"/>
        </w:rPr>
      </w:pPr>
    </w:p>
    <w:p>
      <w:pPr>
        <w:jc w:val="center"/>
        <w:rPr>
          <w:color w:val="000000"/>
          <w:highlight w:val="none"/>
        </w:rPr>
      </w:pPr>
    </w:p>
    <w:p>
      <w:pPr>
        <w:jc w:val="center"/>
        <w:rPr>
          <w:color w:val="000000"/>
          <w:highlight w:val="none"/>
        </w:rPr>
      </w:pPr>
    </w:p>
    <w:p>
      <w:pPr>
        <w:jc w:val="center"/>
        <w:rPr>
          <w:color w:val="000000"/>
          <w:highlight w:val="none"/>
        </w:rPr>
      </w:pPr>
    </w:p>
    <w:p>
      <w:pPr>
        <w:jc w:val="center"/>
        <w:rPr>
          <w:color w:val="000000"/>
          <w:highlight w:val="none"/>
        </w:rPr>
      </w:pPr>
    </w:p>
    <w:p>
      <w:pPr>
        <w:jc w:val="center"/>
        <w:rPr>
          <w:color w:val="000000"/>
          <w:highlight w:val="none"/>
        </w:rPr>
      </w:pPr>
    </w:p>
    <w:p>
      <w:pPr>
        <w:jc w:val="center"/>
        <w:rPr>
          <w:color w:val="000000"/>
          <w:highlight w:val="none"/>
        </w:rPr>
      </w:pPr>
    </w:p>
    <w:p>
      <w:pPr>
        <w:jc w:val="center"/>
        <w:rPr>
          <w:color w:val="000000"/>
          <w:highlight w:val="none"/>
        </w:rPr>
      </w:pPr>
    </w:p>
    <w:p>
      <w:pPr>
        <w:jc w:val="center"/>
        <w:rPr>
          <w:color w:val="000000"/>
          <w:highlight w:val="none"/>
        </w:rPr>
      </w:pPr>
    </w:p>
    <w:p>
      <w:pPr>
        <w:ind w:firstLine="420" w:firstLineChars="150"/>
        <w:rPr>
          <w:rFonts w:ascii="黑体" w:hAnsi="宋体" w:eastAsia="黑体"/>
          <w:color w:val="000000"/>
          <w:sz w:val="28"/>
          <w:szCs w:val="28"/>
          <w:highlight w:val="none"/>
          <w:u w:val="thick"/>
        </w:rPr>
      </w:pPr>
      <w:r>
        <w:rPr>
          <w:rFonts w:hint="eastAsia" w:ascii="黑体" w:hAnsi="宋体" w:eastAsia="黑体"/>
          <w:color w:val="000000"/>
          <w:sz w:val="28"/>
          <w:szCs w:val="28"/>
          <w:highlight w:val="none"/>
          <w:u w:val="thick"/>
        </w:rPr>
        <w:t xml:space="preserve">  2020—</w:t>
      </w:r>
      <w:r>
        <w:rPr>
          <w:rFonts w:hint="eastAsia" w:ascii="黑体" w:hAnsi="宋体" w:eastAsia="黑体"/>
          <w:color w:val="000000"/>
          <w:sz w:val="28"/>
          <w:szCs w:val="28"/>
          <w:highlight w:val="none"/>
          <w:u w:val="thick"/>
          <w:lang w:val="en-US" w:eastAsia="zh-CN"/>
        </w:rPr>
        <w:t>6</w:t>
      </w:r>
      <w:r>
        <w:rPr>
          <w:rFonts w:hint="eastAsia" w:ascii="黑体" w:hAnsi="宋体" w:eastAsia="黑体"/>
          <w:color w:val="000000"/>
          <w:sz w:val="28"/>
          <w:szCs w:val="28"/>
          <w:highlight w:val="none"/>
          <w:u w:val="thick"/>
        </w:rPr>
        <w:t>—</w:t>
      </w:r>
      <w:r>
        <w:rPr>
          <w:rFonts w:hint="eastAsia" w:ascii="黑体" w:hAnsi="宋体" w:eastAsia="黑体"/>
          <w:color w:val="000000"/>
          <w:sz w:val="28"/>
          <w:szCs w:val="28"/>
          <w:highlight w:val="none"/>
          <w:u w:val="thick"/>
          <w:lang w:val="en-US" w:eastAsia="zh-CN"/>
        </w:rPr>
        <w:t>12</w:t>
      </w:r>
      <w:r>
        <w:rPr>
          <w:rFonts w:hint="eastAsia" w:ascii="黑体" w:hAnsi="宋体" w:eastAsia="黑体"/>
          <w:color w:val="000000"/>
          <w:sz w:val="28"/>
          <w:szCs w:val="28"/>
          <w:highlight w:val="none"/>
          <w:u w:val="thick"/>
        </w:rPr>
        <w:t>发布                         2020—</w:t>
      </w:r>
      <w:r>
        <w:rPr>
          <w:rFonts w:hint="eastAsia" w:ascii="黑体" w:hAnsi="宋体" w:eastAsia="黑体"/>
          <w:color w:val="000000"/>
          <w:sz w:val="28"/>
          <w:szCs w:val="28"/>
          <w:highlight w:val="none"/>
          <w:u w:val="thick"/>
          <w:lang w:val="en-US" w:eastAsia="zh-CN"/>
        </w:rPr>
        <w:t>6</w:t>
      </w:r>
      <w:r>
        <w:rPr>
          <w:rFonts w:hint="eastAsia" w:ascii="黑体" w:hAnsi="宋体" w:eastAsia="黑体"/>
          <w:color w:val="000000"/>
          <w:sz w:val="28"/>
          <w:szCs w:val="28"/>
          <w:highlight w:val="none"/>
          <w:u w:val="thick"/>
        </w:rPr>
        <w:t>—</w:t>
      </w:r>
      <w:r>
        <w:rPr>
          <w:rFonts w:hint="eastAsia" w:ascii="黑体" w:hAnsi="宋体" w:eastAsia="黑体"/>
          <w:color w:val="000000"/>
          <w:sz w:val="28"/>
          <w:szCs w:val="28"/>
          <w:highlight w:val="none"/>
          <w:u w:val="thick"/>
          <w:lang w:val="en-US" w:eastAsia="zh-CN"/>
        </w:rPr>
        <w:t>12</w:t>
      </w:r>
      <w:r>
        <w:rPr>
          <w:rFonts w:hint="eastAsia" w:ascii="黑体" w:hAnsi="宋体" w:eastAsia="黑体"/>
          <w:color w:val="000000"/>
          <w:sz w:val="28"/>
          <w:szCs w:val="28"/>
          <w:highlight w:val="none"/>
          <w:u w:val="thick"/>
        </w:rPr>
        <w:t xml:space="preserve">实施  </w:t>
      </w:r>
    </w:p>
    <w:p>
      <w:pPr>
        <w:ind w:firstLine="3724" w:firstLineChars="700"/>
        <w:rPr>
          <w:rFonts w:ascii="黑体" w:eastAsia="黑体"/>
          <w:color w:val="000000"/>
          <w:w w:val="148"/>
          <w:sz w:val="36"/>
          <w:szCs w:val="36"/>
          <w:highlight w:val="none"/>
        </w:rPr>
      </w:pPr>
    </w:p>
    <w:p>
      <w:pPr>
        <w:ind w:firstLine="1570" w:firstLineChars="748"/>
        <w:rPr>
          <w:rFonts w:ascii="黑体" w:hAnsi="黑体" w:eastAsia="黑体"/>
          <w:color w:val="000000"/>
          <w:highlight w:val="none"/>
          <w:u w:val="single"/>
        </w:rPr>
        <w:sectPr>
          <w:headerReference r:id="rId6" w:type="default"/>
          <w:footerReference r:id="rId7" w:type="default"/>
          <w:footerReference r:id="rId8" w:type="even"/>
          <w:pgSz w:w="11906" w:h="16838"/>
          <w:pgMar w:top="1440" w:right="1286" w:bottom="1440" w:left="1440" w:header="851" w:footer="1220" w:gutter="0"/>
          <w:cols w:space="720" w:num="1"/>
          <w:docGrid w:type="lines" w:linePitch="312" w:charSpace="0"/>
        </w:sectPr>
      </w:pPr>
      <w:r>
        <w:rPr>
          <w:rFonts w:ascii="黑体" w:hAnsi="黑体" w:eastAsia="黑体"/>
          <w:color w:val="000000"/>
          <w:highlight w:val="none"/>
          <w:u w:val="single"/>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5257800" cy="0"/>
                <wp:effectExtent l="0" t="0" r="0" b="0"/>
                <wp:wrapNone/>
                <wp:docPr id="3" name="直线 7"/>
                <wp:cNvGraphicFramePr/>
                <a:graphic xmlns:a="http://schemas.openxmlformats.org/drawingml/2006/main">
                  <a:graphicData uri="http://schemas.microsoft.com/office/word/2010/wordprocessingShape">
                    <wps:wsp>
                      <wps:cNvCnPr/>
                      <wps:spPr>
                        <a:xfrm>
                          <a:off x="0" y="0"/>
                          <a:ext cx="5257800" cy="0"/>
                        </a:xfrm>
                        <a:prstGeom prst="line">
                          <a:avLst/>
                        </a:prstGeom>
                        <a:ln w="12700" cap="flat" cmpd="sng">
                          <a:solidFill>
                            <a:srgbClr val="FFFFFF"/>
                          </a:solidFill>
                          <a:prstDash val="solid"/>
                          <a:headEnd type="none" w="med" len="med"/>
                          <a:tailEnd type="none" w="med" len="med"/>
                        </a:ln>
                      </wps:spPr>
                      <wps:bodyPr upright="1"/>
                    </wps:wsp>
                  </a:graphicData>
                </a:graphic>
              </wp:anchor>
            </w:drawing>
          </mc:Choice>
          <mc:Fallback>
            <w:pict>
              <v:line id="直线 7" o:spid="_x0000_s1026" o:spt="20" style="position:absolute;left:0pt;margin-left:0pt;margin-top:0pt;height:0pt;width:414pt;z-index:251663360;mso-width-relative:page;mso-height-relative:page;" filled="f" stroked="t" coordsize="21600,21600" o:gfxdata="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iQ1fQAAAAAgEAAA8AAAAAAAAAAQAgAAAAIgAAAGRycy9kb3du&#10;cmV2LnhtbFBLAQIUABQAAAAIAIdO4kAVnVXWzgEAAI4DAAAOAAAAAAAAAAEAIAAAAB8BAABkcnMv&#10;ZTJvRG9jLnhtbFBLBQYAAAAABgAGAFkBAABfBQAAAAA=&#10;">
                <v:fill on="f" focussize="0,0"/>
                <v:stroke weight="1pt" color="#FFFFFF" joinstyle="round"/>
                <v:imagedata o:title=""/>
                <o:lock v:ext="edit" aspectratio="f"/>
              </v:line>
            </w:pict>
          </mc:Fallback>
        </mc:AlternateContent>
      </w:r>
      <w:r>
        <w:rPr>
          <w:rFonts w:hint="eastAsia" w:ascii="黑体" w:hAnsi="黑体" w:eastAsia="黑体"/>
          <w:color w:val="000000"/>
          <w:w w:val="148"/>
          <w:sz w:val="36"/>
          <w:szCs w:val="36"/>
          <w:highlight w:val="none"/>
        </w:rPr>
        <w:t>昆明市市场监督管理局</w:t>
      </w:r>
    </w:p>
    <w:p>
      <w:pPr>
        <w:spacing w:line="240" w:lineRule="auto"/>
        <w:rPr>
          <w:rFonts w:ascii="黑体" w:hAnsi="宋体" w:eastAsia="黑体" w:cs="Sim Sun"/>
          <w:sz w:val="32"/>
          <w:szCs w:val="32"/>
        </w:rPr>
      </w:pPr>
    </w:p>
    <w:p>
      <w:pPr>
        <w:spacing w:before="55"/>
        <w:ind w:right="0"/>
        <w:jc w:val="center"/>
        <w:rPr>
          <w:rFonts w:hint="eastAsia" w:ascii="黑体" w:hAnsi="黑体" w:eastAsia="黑体" w:cs="黑体"/>
          <w:sz w:val="32"/>
        </w:rPr>
      </w:pPr>
      <w:r>
        <w:rPr>
          <w:rFonts w:hint="eastAsia" w:ascii="黑体" w:hAnsi="黑体" w:eastAsia="黑体" w:cs="黑体"/>
          <w:sz w:val="32"/>
        </w:rPr>
        <w:t>洗衣粉产品质量监督抽查实施细则</w:t>
      </w:r>
      <w:r>
        <w:rPr>
          <w:rFonts w:hint="eastAsia" w:ascii="黑体" w:hAnsi="宋体" w:eastAsia="黑体"/>
          <w:color w:val="000000"/>
          <w:sz w:val="32"/>
          <w:szCs w:val="32"/>
        </w:rPr>
        <w:t>（</w:t>
      </w:r>
      <w:r>
        <w:rPr>
          <w:rFonts w:hint="eastAsia" w:ascii="黑体" w:hAnsi="宋体" w:eastAsia="黑体" w:cs="Sim Sun"/>
          <w:sz w:val="32"/>
          <w:szCs w:val="32"/>
        </w:rPr>
        <w:t>2020</w:t>
      </w:r>
      <w:r>
        <w:rPr>
          <w:rFonts w:hint="eastAsia" w:ascii="黑体" w:hAnsi="宋体" w:eastAsia="黑体"/>
          <w:color w:val="000000"/>
          <w:sz w:val="32"/>
          <w:szCs w:val="32"/>
        </w:rPr>
        <w:t>）</w:t>
      </w:r>
    </w:p>
    <w:p>
      <w:pPr>
        <w:pStyle w:val="3"/>
        <w:spacing w:before="1"/>
        <w:ind w:left="0"/>
        <w:rPr>
          <w:sz w:val="14"/>
        </w:rPr>
      </w:pPr>
    </w:p>
    <w:p>
      <w:pPr>
        <w:pStyle w:val="2"/>
        <w:numPr>
          <w:ilvl w:val="0"/>
          <w:numId w:val="1"/>
        </w:numPr>
        <w:tabs>
          <w:tab w:val="left" w:pos="421"/>
          <w:tab w:val="left" w:pos="422"/>
        </w:tabs>
        <w:spacing w:before="2" w:after="0" w:line="240" w:lineRule="auto"/>
        <w:ind w:left="421" w:right="0" w:hanging="318"/>
        <w:jc w:val="left"/>
      </w:pPr>
      <w:r>
        <w:t>范围</w:t>
      </w:r>
    </w:p>
    <w:p>
      <w:pPr>
        <w:pStyle w:val="3"/>
        <w:spacing w:before="122" w:line="393" w:lineRule="auto"/>
        <w:ind w:right="215" w:firstLine="419"/>
        <w:jc w:val="both"/>
      </w:pPr>
      <w:r>
        <w:t>本细则适用于昆明市市场监督管理局</w:t>
      </w:r>
      <w:r>
        <w:rPr>
          <w:rFonts w:hint="eastAsia" w:ascii="宋体" w:hAnsi="宋体"/>
        </w:rPr>
        <w:t>组织的</w:t>
      </w:r>
      <w:r>
        <w:rPr>
          <w:rFonts w:hint="eastAsia"/>
          <w:lang w:eastAsia="zh-CN"/>
        </w:rPr>
        <w:t>洗衣粉</w:t>
      </w:r>
      <w:r>
        <w:rPr>
          <w:rFonts w:hint="eastAsia" w:ascii="宋体" w:hAnsi="宋体" w:cs="Sim Sun"/>
          <w:szCs w:val="21"/>
        </w:rPr>
        <w:t>产品</w:t>
      </w:r>
      <w:r>
        <w:rPr>
          <w:rFonts w:hint="eastAsia" w:ascii="宋体" w:hAnsi="宋体"/>
        </w:rPr>
        <w:t>质量监督抽查。</w:t>
      </w:r>
      <w:r>
        <w:t>监督抽查产品范围包括由表面活性剂及洗涤剂配方生产的弱碱性洗衣粉。本细则内容包括产品分类、术语和定义、检验依据、抽样、检验要求、判定原则、异议处理及附则。</w:t>
      </w:r>
    </w:p>
    <w:p>
      <w:pPr>
        <w:pStyle w:val="2"/>
        <w:numPr>
          <w:ilvl w:val="0"/>
          <w:numId w:val="1"/>
        </w:numPr>
        <w:tabs>
          <w:tab w:val="left" w:pos="421"/>
          <w:tab w:val="left" w:pos="422"/>
        </w:tabs>
        <w:spacing w:before="0" w:after="0" w:line="311" w:lineRule="exact"/>
        <w:ind w:left="421" w:right="0" w:hanging="318"/>
        <w:jc w:val="left"/>
      </w:pPr>
      <w:r>
        <w:t>产品分类</w:t>
      </w:r>
    </w:p>
    <w:p>
      <w:pPr>
        <w:pStyle w:val="3"/>
        <w:spacing w:before="125"/>
        <w:ind w:left="524"/>
      </w:pPr>
      <w:r>
        <w:t>洗衣粉按品种、性能和规格分为两类：含磷（HL 类）和无磷（WL 类）两类。</w:t>
      </w:r>
    </w:p>
    <w:p>
      <w:pPr>
        <w:pStyle w:val="2"/>
        <w:numPr>
          <w:ilvl w:val="0"/>
          <w:numId w:val="1"/>
        </w:numPr>
        <w:tabs>
          <w:tab w:val="left" w:pos="421"/>
          <w:tab w:val="left" w:pos="422"/>
        </w:tabs>
        <w:spacing w:before="101" w:after="0" w:line="240" w:lineRule="auto"/>
        <w:ind w:left="421" w:right="0" w:hanging="318"/>
        <w:jc w:val="left"/>
      </w:pPr>
      <w:r>
        <w:t>术语和定义</w:t>
      </w:r>
    </w:p>
    <w:p>
      <w:pPr>
        <w:pStyle w:val="3"/>
        <w:spacing w:before="123"/>
        <w:ind w:left="524"/>
      </w:pPr>
      <w:r>
        <w:t>本细则中未列出的术语和定义同相关引用标准</w:t>
      </w:r>
    </w:p>
    <w:p>
      <w:pPr>
        <w:pStyle w:val="2"/>
        <w:numPr>
          <w:ilvl w:val="0"/>
          <w:numId w:val="1"/>
        </w:numPr>
        <w:tabs>
          <w:tab w:val="left" w:pos="421"/>
          <w:tab w:val="left" w:pos="422"/>
        </w:tabs>
        <w:spacing w:before="103" w:after="0" w:line="240" w:lineRule="auto"/>
        <w:ind w:left="421" w:right="0" w:hanging="318"/>
        <w:jc w:val="left"/>
      </w:pPr>
      <w:r>
        <w:t>检验依据</w:t>
      </w:r>
    </w:p>
    <w:p>
      <w:pPr>
        <w:pStyle w:val="3"/>
        <w:spacing w:before="122" w:line="391" w:lineRule="auto"/>
        <w:ind w:right="112" w:firstLine="419"/>
      </w:pPr>
      <w:r>
        <w:rPr>
          <w:spacing w:val="-9"/>
        </w:rPr>
        <w:t>凡是注日期的文件，其随后所有的修改单</w:t>
      </w:r>
      <w:r>
        <w:rPr>
          <w:spacing w:val="-3"/>
        </w:rPr>
        <w:t>（不包括勘误的内容</w:t>
      </w:r>
      <w:r>
        <w:rPr>
          <w:spacing w:val="-34"/>
        </w:rPr>
        <w:t>）</w:t>
      </w:r>
      <w:r>
        <w:rPr>
          <w:spacing w:val="-3"/>
        </w:rPr>
        <w:t>或修订版不适用于本细则。凡是不注日期的引用文件，其最新版本适用于本细则。</w:t>
      </w:r>
    </w:p>
    <w:p>
      <w:pPr>
        <w:pStyle w:val="3"/>
        <w:spacing w:before="4"/>
        <w:ind w:left="524"/>
      </w:pPr>
      <w:r>
        <w:t>GB/T 13171.1</w:t>
      </w:r>
      <w:r>
        <w:rPr>
          <w:rFonts w:hint="eastAsia"/>
          <w:lang w:val="en-US" w:eastAsia="zh-CN"/>
        </w:rPr>
        <w:t xml:space="preserve"> </w:t>
      </w:r>
      <w:r>
        <w:t xml:space="preserve"> 洗衣粉(含磷类)</w:t>
      </w:r>
    </w:p>
    <w:p>
      <w:pPr>
        <w:pStyle w:val="3"/>
        <w:spacing w:before="4"/>
        <w:ind w:firstLine="420" w:firstLineChars="200"/>
        <w:rPr>
          <w:spacing w:val="3"/>
        </w:rPr>
      </w:pPr>
      <w:r>
        <w:t>GB/T</w:t>
      </w:r>
      <w:r>
        <w:rPr>
          <w:spacing w:val="64"/>
        </w:rPr>
        <w:t xml:space="preserve"> </w:t>
      </w:r>
      <w:r>
        <w:t>13171.2</w:t>
      </w:r>
      <w:r>
        <w:rPr>
          <w:spacing w:val="3"/>
        </w:rPr>
        <w:t xml:space="preserve"> 洗衣粉(无磷类) </w:t>
      </w:r>
    </w:p>
    <w:p>
      <w:pPr>
        <w:spacing w:line="360" w:lineRule="auto"/>
        <w:ind w:firstLine="464" w:firstLineChars="221"/>
        <w:rPr>
          <w:rFonts w:hint="eastAsia" w:ascii="宋体" w:hAnsi="宋体"/>
          <w:bCs/>
          <w:sz w:val="21"/>
          <w:szCs w:val="21"/>
        </w:rPr>
      </w:pPr>
      <w:r>
        <w:rPr>
          <w:rFonts w:hint="eastAsia" w:ascii="宋体" w:hAnsi="宋体"/>
          <w:bCs/>
          <w:sz w:val="21"/>
          <w:szCs w:val="21"/>
        </w:rPr>
        <w:t>GB/T 13173    表面活性剂 洗涤剂试验方法</w:t>
      </w:r>
    </w:p>
    <w:p>
      <w:pPr>
        <w:spacing w:line="360" w:lineRule="auto"/>
        <w:ind w:firstLine="464" w:firstLineChars="221"/>
        <w:rPr>
          <w:rFonts w:hint="eastAsia" w:ascii="宋体" w:hAnsi="宋体"/>
          <w:bCs/>
          <w:sz w:val="21"/>
          <w:szCs w:val="21"/>
        </w:rPr>
      </w:pPr>
      <w:r>
        <w:rPr>
          <w:rFonts w:hint="eastAsia" w:ascii="宋体" w:hAnsi="宋体"/>
          <w:bCs/>
          <w:sz w:val="21"/>
          <w:szCs w:val="21"/>
        </w:rPr>
        <w:t>GB/T 13174    衣料用洗涤剂去污力及循环洗涤性能的测定</w:t>
      </w:r>
    </w:p>
    <w:p>
      <w:pPr>
        <w:spacing w:line="360" w:lineRule="auto"/>
        <w:ind w:firstLine="464" w:firstLineChars="221"/>
        <w:rPr>
          <w:rFonts w:hint="eastAsia" w:ascii="宋体" w:hAnsi="宋体"/>
          <w:bCs/>
          <w:sz w:val="21"/>
          <w:szCs w:val="21"/>
        </w:rPr>
      </w:pPr>
      <w:r>
        <w:rPr>
          <w:rFonts w:hint="eastAsia" w:ascii="宋体" w:hAnsi="宋体"/>
          <w:bCs/>
          <w:sz w:val="21"/>
          <w:szCs w:val="21"/>
        </w:rPr>
        <w:t>GB</w:t>
      </w:r>
      <w:r>
        <w:rPr>
          <w:rFonts w:ascii="宋体" w:hAnsi="宋体"/>
          <w:bCs/>
          <w:sz w:val="21"/>
          <w:szCs w:val="21"/>
        </w:rPr>
        <w:t>/T</w:t>
      </w:r>
      <w:r>
        <w:rPr>
          <w:rFonts w:hint="eastAsia" w:ascii="宋体" w:hAnsi="宋体"/>
          <w:bCs/>
          <w:sz w:val="21"/>
          <w:szCs w:val="21"/>
        </w:rPr>
        <w:t xml:space="preserve"> 6368     表面活性剂 水溶液pH值的测定 电位法</w:t>
      </w:r>
    </w:p>
    <w:p>
      <w:pPr>
        <w:pStyle w:val="3"/>
        <w:spacing w:before="170" w:line="391" w:lineRule="auto"/>
        <w:ind w:right="5265" w:firstLine="404" w:firstLineChars="200"/>
      </w:pPr>
      <w:r>
        <w:rPr>
          <w:spacing w:val="-4"/>
        </w:rPr>
        <w:t>相关的法律法规、部门规章和规范</w:t>
      </w:r>
    </w:p>
    <w:p>
      <w:pPr>
        <w:pStyle w:val="3"/>
        <w:spacing w:before="4"/>
        <w:ind w:left="524"/>
      </w:pPr>
      <w:r>
        <w:t>经备案现行有效的企业标准及产品明示质量要求</w:t>
      </w:r>
    </w:p>
    <w:p>
      <w:pPr>
        <w:pStyle w:val="2"/>
        <w:numPr>
          <w:ilvl w:val="0"/>
          <w:numId w:val="0"/>
        </w:numPr>
        <w:tabs>
          <w:tab w:val="left" w:pos="421"/>
          <w:tab w:val="left" w:pos="422"/>
        </w:tabs>
        <w:spacing w:before="101" w:after="0" w:line="240" w:lineRule="auto"/>
        <w:ind w:left="103" w:leftChars="0" w:right="0" w:rightChars="0"/>
        <w:jc w:val="left"/>
      </w:pPr>
      <w:r>
        <w:rPr>
          <w:rFonts w:hint="eastAsia" w:eastAsia="宋体"/>
          <w:lang w:val="en-US" w:eastAsia="zh-CN"/>
        </w:rPr>
        <w:t xml:space="preserve">5  </w:t>
      </w:r>
      <w:r>
        <w:t>抽样</w:t>
      </w:r>
    </w:p>
    <w:p>
      <w:pPr>
        <w:snapToGrid w:val="0"/>
        <w:spacing w:line="440" w:lineRule="exact"/>
        <w:ind w:firstLine="408" w:firstLineChars="200"/>
        <w:rPr>
          <w:rFonts w:hint="eastAsia" w:ascii="宋体" w:hAnsi="宋体" w:cs="Arial"/>
          <w:color w:val="auto"/>
          <w:szCs w:val="21"/>
          <w:highlight w:val="none"/>
        </w:rPr>
      </w:pPr>
      <w:r>
        <w:rPr>
          <w:rFonts w:hint="eastAsia"/>
          <w:color w:val="auto"/>
          <w:spacing w:val="-3"/>
          <w:sz w:val="21"/>
          <w:highlight w:val="none"/>
          <w:lang w:val="en-US" w:eastAsia="zh-CN"/>
        </w:rPr>
        <w:t>5.1</w:t>
      </w:r>
      <w:r>
        <w:rPr>
          <w:rFonts w:hint="eastAsia" w:ascii="宋体" w:hAnsi="宋体" w:cs="Arial"/>
          <w:color w:val="auto"/>
          <w:szCs w:val="21"/>
          <w:highlight w:val="none"/>
        </w:rPr>
        <w:t>委托抽样</w:t>
      </w:r>
    </w:p>
    <w:p>
      <w:pPr>
        <w:snapToGrid w:val="0"/>
        <w:spacing w:line="440" w:lineRule="exact"/>
        <w:ind w:firstLine="420" w:firstLineChars="200"/>
        <w:rPr>
          <w:rFonts w:hint="eastAsia" w:ascii="宋体" w:hAnsi="宋体" w:cs="Arial"/>
          <w:color w:val="auto"/>
          <w:szCs w:val="21"/>
          <w:highlight w:val="none"/>
        </w:rPr>
      </w:pPr>
      <w:r>
        <w:rPr>
          <w:rFonts w:hint="eastAsia" w:ascii="宋体" w:hAnsi="宋体" w:cs="Arial"/>
          <w:color w:val="auto"/>
          <w:szCs w:val="21"/>
          <w:highlight w:val="none"/>
        </w:rPr>
        <w:t>抽样人员由昆明市市场监督管理局委托的抽样机构组成，抽样人员不得少于两人，并向被抽样生产者、销售者出示昆明市市场监督管理局出具的监督抽查通知书、抽样人员身份证明。同时还应当出示昆明市市场监督管理局出具的授权委托书复印件。抽样人员应当告知被抽样生产者、销售者抽查产品范围、抽样方法等。样品应当由抽样人员在被抽样生产者、销售者待销的具有质量合格证明或者以其他形式表明合格的产品中随机抽取，不得由被抽样生产者、销售者自行抽样。抽取的样品应为同一生产者按照同一标准生产的同一商标、同一规格型号的产品（以下简称“同一产品”）。</w:t>
      </w:r>
    </w:p>
    <w:p>
      <w:pPr>
        <w:pStyle w:val="12"/>
        <w:numPr>
          <w:ilvl w:val="0"/>
          <w:numId w:val="0"/>
        </w:numPr>
        <w:tabs>
          <w:tab w:val="left" w:pos="474"/>
        </w:tabs>
        <w:spacing w:before="122" w:after="0" w:line="240" w:lineRule="auto"/>
        <w:ind w:left="104" w:leftChars="0" w:right="0" w:rightChars="0"/>
        <w:jc w:val="left"/>
        <w:rPr>
          <w:sz w:val="21"/>
        </w:rPr>
      </w:pPr>
      <w:r>
        <w:rPr>
          <w:rFonts w:hint="eastAsia"/>
          <w:spacing w:val="-3"/>
          <w:sz w:val="21"/>
          <w:lang w:val="en-US" w:eastAsia="zh-CN"/>
        </w:rPr>
        <w:t>5.2</w:t>
      </w:r>
      <w:r>
        <w:rPr>
          <w:spacing w:val="-3"/>
          <w:sz w:val="21"/>
        </w:rPr>
        <w:t>抽样型号或规格、保质期</w:t>
      </w:r>
    </w:p>
    <w:p>
      <w:pPr>
        <w:pStyle w:val="3"/>
        <w:spacing w:before="173"/>
        <w:ind w:left="524"/>
      </w:pPr>
      <w:r>
        <w:t>抽取样品保质期须能满足抽样、检验工作的时间且为同一型号规格、同一批次的产品。</w:t>
      </w:r>
    </w:p>
    <w:p>
      <w:pPr>
        <w:pStyle w:val="12"/>
        <w:numPr>
          <w:ilvl w:val="0"/>
          <w:numId w:val="0"/>
        </w:numPr>
        <w:tabs>
          <w:tab w:val="left" w:pos="474"/>
        </w:tabs>
        <w:spacing w:before="170" w:after="0" w:line="240" w:lineRule="auto"/>
        <w:ind w:left="104" w:leftChars="0" w:right="0" w:rightChars="0"/>
        <w:jc w:val="left"/>
        <w:rPr>
          <w:sz w:val="21"/>
        </w:rPr>
      </w:pPr>
      <w:r>
        <w:rPr>
          <w:rFonts w:hint="eastAsia"/>
          <w:spacing w:val="-3"/>
          <w:sz w:val="21"/>
          <w:lang w:val="en-US" w:eastAsia="zh-CN"/>
        </w:rPr>
        <w:t>5.2</w:t>
      </w:r>
      <w:r>
        <w:rPr>
          <w:spacing w:val="-3"/>
          <w:sz w:val="21"/>
        </w:rPr>
        <w:t>抽样方法、基数及数量</w:t>
      </w:r>
    </w:p>
    <w:p>
      <w:pPr>
        <w:pStyle w:val="3"/>
        <w:spacing w:before="170" w:line="393" w:lineRule="auto"/>
        <w:ind w:right="215" w:firstLine="419"/>
      </w:pPr>
      <w:r>
        <w:t>在企业的成品库内或市场待销产品中随机抽取有产品质量检验合格证明或者以其他形式表明合格的、近期生产的产品（特殊情况除外）。</w:t>
      </w:r>
    </w:p>
    <w:p>
      <w:pPr>
        <w:pStyle w:val="3"/>
        <w:spacing w:line="391" w:lineRule="auto"/>
        <w:ind w:right="215" w:firstLine="419"/>
      </w:pPr>
      <w:r>
        <w:rPr>
          <w:spacing w:val="-5"/>
        </w:rPr>
        <w:t xml:space="preserve">在企业成品库内、成品堆放区抽样时，随机抽取样品总量不少于 </w:t>
      </w:r>
      <w:r>
        <w:t>2kg</w:t>
      </w:r>
      <w:r>
        <w:rPr>
          <w:spacing w:val="-17"/>
        </w:rPr>
        <w:t xml:space="preserve"> 且不少于 </w:t>
      </w:r>
      <w:r>
        <w:t>4</w:t>
      </w:r>
      <w:r>
        <w:rPr>
          <w:spacing w:val="-10"/>
        </w:rPr>
        <w:t xml:space="preserve"> 个独立包装，样品分为两份，一份作为检验样品</w:t>
      </w:r>
      <w:r>
        <w:t>（</w:t>
      </w:r>
      <w:r>
        <w:rPr>
          <w:spacing w:val="-11"/>
        </w:rPr>
        <w:t xml:space="preserve">不少于 </w:t>
      </w:r>
      <w:r>
        <w:t>2</w:t>
      </w:r>
      <w:r>
        <w:rPr>
          <w:spacing w:val="-8"/>
        </w:rPr>
        <w:t xml:space="preserve"> 个独立包装</w:t>
      </w:r>
      <w:r>
        <w:rPr>
          <w:spacing w:val="-21"/>
        </w:rPr>
        <w:t>）</w:t>
      </w:r>
      <w:r>
        <w:rPr>
          <w:spacing w:val="-6"/>
        </w:rPr>
        <w:t>，另一份作为备用样品(不少于</w:t>
      </w:r>
      <w:r>
        <w:t>2 个独立包装)；</w:t>
      </w:r>
      <w:r>
        <w:rPr>
          <w:color w:val="auto"/>
        </w:rPr>
        <w:t>随机数一般可使用随机数表、骰子或扑克牌等方法产生。</w:t>
      </w:r>
      <w:r>
        <w:t>在市场抽样时，抽样基数满足抽样数量即可。</w:t>
      </w:r>
    </w:p>
    <w:p>
      <w:pPr>
        <w:pStyle w:val="12"/>
        <w:numPr>
          <w:ilvl w:val="0"/>
          <w:numId w:val="0"/>
        </w:numPr>
        <w:tabs>
          <w:tab w:val="left" w:pos="894"/>
        </w:tabs>
        <w:spacing w:before="1" w:after="0" w:line="240" w:lineRule="auto"/>
        <w:ind w:right="0" w:rightChars="0"/>
        <w:jc w:val="left"/>
        <w:rPr>
          <w:sz w:val="21"/>
        </w:rPr>
      </w:pPr>
      <w:r>
        <w:rPr>
          <w:rFonts w:hint="eastAsia"/>
          <w:spacing w:val="-3"/>
          <w:sz w:val="21"/>
          <w:lang w:val="en-US" w:eastAsia="zh-CN"/>
        </w:rPr>
        <w:t>5.3</w:t>
      </w:r>
      <w:r>
        <w:rPr>
          <w:spacing w:val="-3"/>
          <w:sz w:val="21"/>
        </w:rPr>
        <w:t>样品处置</w:t>
      </w:r>
    </w:p>
    <w:p>
      <w:pPr>
        <w:pStyle w:val="3"/>
        <w:spacing w:before="173" w:line="391" w:lineRule="auto"/>
        <w:ind w:right="112" w:firstLine="419"/>
      </w:pPr>
      <w:r>
        <w:rPr>
          <w:spacing w:val="-9"/>
        </w:rPr>
        <w:t>抽取的样品按运输条件包装好，在包装上的所有可能的开口处贴上封条。运输时严防雨淋、</w:t>
      </w:r>
      <w:r>
        <w:rPr>
          <w:spacing w:val="-5"/>
        </w:rPr>
        <w:t>日晒、受潮。装卸时轻搬轻放，严禁掷抛。存时注意防晒、防雨淋、防潮。</w:t>
      </w:r>
    </w:p>
    <w:p>
      <w:pPr>
        <w:pStyle w:val="12"/>
        <w:numPr>
          <w:ilvl w:val="0"/>
          <w:numId w:val="0"/>
        </w:numPr>
        <w:tabs>
          <w:tab w:val="left" w:pos="474"/>
        </w:tabs>
        <w:spacing w:before="72" w:after="0" w:line="240" w:lineRule="auto"/>
        <w:ind w:leftChars="0" w:right="0" w:rightChars="0"/>
        <w:jc w:val="both"/>
        <w:rPr>
          <w:sz w:val="21"/>
        </w:rPr>
      </w:pPr>
      <w:r>
        <w:rPr>
          <w:rFonts w:hint="eastAsia"/>
          <w:spacing w:val="-2"/>
          <w:sz w:val="21"/>
          <w:lang w:val="en-US" w:eastAsia="zh-CN"/>
        </w:rPr>
        <w:t>5.4</w:t>
      </w:r>
      <w:r>
        <w:rPr>
          <w:spacing w:val="-2"/>
          <w:sz w:val="21"/>
        </w:rPr>
        <w:t>抽样单</w:t>
      </w:r>
    </w:p>
    <w:p>
      <w:pPr>
        <w:pStyle w:val="3"/>
        <w:spacing w:before="170" w:line="393" w:lineRule="auto"/>
        <w:ind w:right="215" w:firstLine="419"/>
        <w:jc w:val="both"/>
      </w:pPr>
      <w:r>
        <w:t>应按有关规定填写抽样单，并记录被抽查产品及企业相关信息。对于产品检验所需的样品技术参数（如：产品类型）等信息，需要被抽企业提供的，应在抽样现场获取，并经企业确认。</w:t>
      </w:r>
    </w:p>
    <w:p>
      <w:pPr>
        <w:snapToGrid w:val="0"/>
        <w:spacing w:line="440" w:lineRule="exact"/>
        <w:rPr>
          <w:rFonts w:hint="eastAsia" w:ascii="黑体" w:hAnsi="黑体" w:eastAsia="黑体" w:cs="Sim Sun"/>
          <w:b w:val="0"/>
          <w:bCs w:val="0"/>
          <w:kern w:val="0"/>
          <w:szCs w:val="21"/>
        </w:rPr>
      </w:pPr>
      <w:r>
        <w:rPr>
          <w:rFonts w:hint="eastAsia" w:ascii="黑体" w:hAnsi="黑体" w:eastAsia="黑体" w:cs="Sim Sun"/>
          <w:b w:val="0"/>
          <w:bCs w:val="0"/>
          <w:kern w:val="0"/>
          <w:szCs w:val="21"/>
          <w:lang w:val="en-US" w:eastAsia="zh-CN"/>
        </w:rPr>
        <w:t>5</w:t>
      </w:r>
      <w:r>
        <w:rPr>
          <w:rFonts w:hint="eastAsia" w:ascii="黑体" w:hAnsi="黑体" w:eastAsia="黑体" w:cs="Sim Sun"/>
          <w:b w:val="0"/>
          <w:bCs w:val="0"/>
          <w:kern w:val="0"/>
          <w:szCs w:val="21"/>
        </w:rPr>
        <w:t>.5购样</w:t>
      </w:r>
    </w:p>
    <w:p>
      <w:pPr>
        <w:snapToGrid w:val="0"/>
        <w:spacing w:line="440" w:lineRule="exact"/>
        <w:rPr>
          <w:rFonts w:hint="eastAsia" w:ascii="宋体" w:hAnsi="宋体" w:cs="Arial"/>
          <w:szCs w:val="21"/>
        </w:rPr>
      </w:pPr>
      <w:r>
        <w:rPr>
          <w:rFonts w:hint="eastAsia" w:ascii="宋体" w:hAnsi="宋体" w:cs="Arial"/>
          <w:szCs w:val="21"/>
          <w:lang w:val="en-US" w:eastAsia="zh-CN"/>
        </w:rPr>
        <w:t>5</w:t>
      </w:r>
      <w:r>
        <w:rPr>
          <w:rFonts w:hint="eastAsia" w:ascii="宋体" w:hAnsi="宋体" w:cs="Arial"/>
          <w:szCs w:val="21"/>
        </w:rPr>
        <w:t>.5.1抽样人员应当购买检验样品。购买检验样品的价格以生产、销售产品的标价为准；没有标价的，以同类产品的市场价格为准。</w:t>
      </w:r>
    </w:p>
    <w:p>
      <w:pPr>
        <w:snapToGrid w:val="0"/>
        <w:spacing w:line="440" w:lineRule="exact"/>
        <w:rPr>
          <w:rFonts w:hint="eastAsia" w:ascii="宋体" w:hAnsi="宋体" w:cs="Arial"/>
          <w:color w:val="FF0000"/>
          <w:szCs w:val="21"/>
        </w:rPr>
      </w:pPr>
      <w:r>
        <w:rPr>
          <w:rFonts w:hint="eastAsia" w:ascii="宋体" w:hAnsi="宋体" w:cs="Arial"/>
          <w:szCs w:val="21"/>
          <w:lang w:val="en-US" w:eastAsia="zh-CN"/>
        </w:rPr>
        <w:t>5</w:t>
      </w:r>
      <w:r>
        <w:rPr>
          <w:rFonts w:hint="eastAsia" w:ascii="宋体" w:hAnsi="宋体" w:cs="Arial"/>
          <w:szCs w:val="21"/>
        </w:rPr>
        <w:t>.5.2备用样品由被抽样生产者、销售者先行无偿提供。检验结论为合格并且属于无偿提供的样品，</w:t>
      </w:r>
      <w:r>
        <w:rPr>
          <w:rFonts w:hint="eastAsia" w:ascii="宋体" w:hAnsi="宋体" w:cs="Arial"/>
          <w:color w:val="000000"/>
          <w:szCs w:val="21"/>
          <w:lang w:eastAsia="zh-CN"/>
        </w:rPr>
        <w:t>由承检机构</w:t>
      </w:r>
      <w:r>
        <w:rPr>
          <w:rFonts w:hint="eastAsia" w:ascii="宋体" w:hAnsi="宋体" w:cs="Arial"/>
          <w:color w:val="000000"/>
          <w:szCs w:val="21"/>
        </w:rPr>
        <w:t>在提出异议处理申请期限届满后及时退还</w:t>
      </w:r>
      <w:r>
        <w:rPr>
          <w:rFonts w:hint="eastAsia" w:ascii="宋体" w:hAnsi="宋体" w:cs="Arial"/>
          <w:szCs w:val="21"/>
        </w:rPr>
        <w:t>。</w:t>
      </w:r>
    </w:p>
    <w:p>
      <w:pPr>
        <w:snapToGrid w:val="0"/>
        <w:spacing w:line="440" w:lineRule="exact"/>
        <w:rPr>
          <w:rFonts w:hint="eastAsia" w:ascii="宋体" w:hAnsi="宋体" w:cs="Arial"/>
          <w:color w:val="000000"/>
          <w:szCs w:val="21"/>
        </w:rPr>
      </w:pPr>
      <w:r>
        <w:rPr>
          <w:rFonts w:hint="eastAsia" w:ascii="宋体" w:hAnsi="宋体" w:cs="Arial"/>
          <w:color w:val="000000"/>
          <w:szCs w:val="21"/>
          <w:lang w:val="en-US" w:eastAsia="zh-CN"/>
        </w:rPr>
        <w:t>5</w:t>
      </w:r>
      <w:r>
        <w:rPr>
          <w:rFonts w:hint="eastAsia" w:ascii="宋体" w:hAnsi="宋体" w:cs="Arial"/>
          <w:color w:val="000000"/>
          <w:szCs w:val="21"/>
        </w:rPr>
        <w:t>.5.3本细则中检验样品均需购买，备用样品由被抽样生产者、销售者先行无偿提供。</w:t>
      </w:r>
    </w:p>
    <w:p>
      <w:pPr>
        <w:snapToGrid w:val="0"/>
        <w:spacing w:line="440" w:lineRule="exact"/>
        <w:rPr>
          <w:rFonts w:hint="eastAsia" w:ascii="宋体" w:hAnsi="宋体" w:cs="Arial"/>
          <w:color w:val="000000"/>
          <w:szCs w:val="21"/>
        </w:rPr>
      </w:pPr>
    </w:p>
    <w:p>
      <w:pPr>
        <w:pStyle w:val="2"/>
        <w:numPr>
          <w:ilvl w:val="0"/>
          <w:numId w:val="0"/>
        </w:numPr>
        <w:tabs>
          <w:tab w:val="left" w:pos="422"/>
        </w:tabs>
        <w:spacing w:before="0" w:after="0" w:line="311" w:lineRule="exact"/>
        <w:ind w:left="103" w:leftChars="0" w:right="0" w:rightChars="0"/>
        <w:jc w:val="both"/>
      </w:pPr>
      <w:r>
        <w:rPr>
          <w:rFonts w:hint="eastAsia" w:eastAsia="宋体"/>
          <w:lang w:val="en-US" w:eastAsia="zh-CN"/>
        </w:rPr>
        <w:t xml:space="preserve">6  </w:t>
      </w:r>
      <w:r>
        <w:t>检验要求</w:t>
      </w:r>
    </w:p>
    <w:p>
      <w:pPr>
        <w:pStyle w:val="12"/>
        <w:numPr>
          <w:ilvl w:val="0"/>
          <w:numId w:val="0"/>
        </w:numPr>
        <w:tabs>
          <w:tab w:val="left" w:pos="474"/>
        </w:tabs>
        <w:spacing w:before="124" w:after="0" w:line="240" w:lineRule="auto"/>
        <w:ind w:left="104" w:leftChars="0" w:right="0" w:rightChars="0"/>
        <w:jc w:val="both"/>
        <w:rPr>
          <w:sz w:val="21"/>
        </w:rPr>
      </w:pPr>
      <w:r>
        <w:rPr>
          <w:rFonts w:hint="eastAsia"/>
          <w:spacing w:val="-3"/>
          <w:sz w:val="21"/>
          <w:lang w:val="en-US" w:eastAsia="zh-CN"/>
        </w:rPr>
        <w:t>6.1</w:t>
      </w:r>
      <w:r>
        <w:rPr>
          <w:spacing w:val="-3"/>
          <w:sz w:val="21"/>
        </w:rPr>
        <w:t>检验项目及重要程度分类</w:t>
      </w:r>
    </w:p>
    <w:p>
      <w:pPr>
        <w:pStyle w:val="12"/>
        <w:numPr>
          <w:ilvl w:val="0"/>
          <w:numId w:val="0"/>
        </w:numPr>
        <w:tabs>
          <w:tab w:val="left" w:pos="686"/>
        </w:tabs>
        <w:spacing w:before="171" w:after="0" w:line="240" w:lineRule="auto"/>
        <w:ind w:left="103" w:leftChars="0" w:right="0" w:rightChars="0"/>
        <w:jc w:val="both"/>
        <w:rPr>
          <w:sz w:val="21"/>
          <w:szCs w:val="21"/>
        </w:rPr>
      </w:pPr>
      <w:r>
        <w:rPr>
          <w:rFonts w:hint="eastAsia"/>
          <w:spacing w:val="-6"/>
          <w:sz w:val="21"/>
          <w:szCs w:val="21"/>
          <w:lang w:val="en-US" w:eastAsia="zh-CN"/>
        </w:rPr>
        <w:t>6.1.1</w:t>
      </w:r>
      <w:r>
        <w:rPr>
          <w:spacing w:val="-6"/>
          <w:sz w:val="21"/>
          <w:szCs w:val="21"/>
        </w:rPr>
        <w:t xml:space="preserve">含磷型洗衣粉产品检验项目及重要程度分类见表 </w:t>
      </w:r>
      <w:r>
        <w:rPr>
          <w:sz w:val="21"/>
          <w:szCs w:val="21"/>
        </w:rPr>
        <w:t>1。</w:t>
      </w:r>
    </w:p>
    <w:p>
      <w:pPr>
        <w:spacing w:line="360" w:lineRule="auto"/>
        <w:ind w:firstLine="464" w:firstLineChars="221"/>
        <w:rPr>
          <w:rFonts w:ascii="宋体" w:hAnsi="宋体"/>
          <w:bCs/>
          <w:sz w:val="21"/>
          <w:szCs w:val="21"/>
        </w:rPr>
      </w:pPr>
      <w:r>
        <w:rPr>
          <w:rFonts w:hint="eastAsia" w:ascii="宋体" w:hAnsi="宋体"/>
          <w:bCs/>
          <w:sz w:val="21"/>
          <w:szCs w:val="21"/>
          <w:lang w:eastAsia="zh-CN"/>
        </w:rPr>
        <w:t>表</w:t>
      </w:r>
      <w:r>
        <w:rPr>
          <w:rFonts w:hint="eastAsia" w:ascii="宋体" w:hAnsi="宋体"/>
          <w:bCs/>
          <w:sz w:val="21"/>
          <w:szCs w:val="21"/>
        </w:rPr>
        <w:t>1、洗衣粉（含磷型）</w:t>
      </w:r>
      <w:r>
        <w:rPr>
          <w:rFonts w:ascii="宋体" w:hAnsi="宋体"/>
          <w:bCs/>
          <w:sz w:val="21"/>
          <w:szCs w:val="21"/>
        </w:rPr>
        <w:t>检验项目及</w:t>
      </w:r>
      <w:r>
        <w:rPr>
          <w:rFonts w:hint="eastAsia" w:ascii="宋体" w:hAnsi="宋体"/>
          <w:bCs/>
          <w:sz w:val="21"/>
          <w:szCs w:val="21"/>
        </w:rPr>
        <w:t>重要程度</w:t>
      </w:r>
      <w:r>
        <w:rPr>
          <w:rFonts w:ascii="宋体" w:hAnsi="宋体"/>
          <w:bCs/>
          <w:sz w:val="21"/>
          <w:szCs w:val="21"/>
        </w:rPr>
        <w:t>分类</w:t>
      </w:r>
    </w:p>
    <w:tbl>
      <w:tblPr>
        <w:tblStyle w:val="7"/>
        <w:tblW w:w="8918" w:type="dxa"/>
        <w:jc w:val="center"/>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5"/>
        <w:gridCol w:w="2331"/>
        <w:gridCol w:w="1628"/>
        <w:gridCol w:w="1276"/>
        <w:gridCol w:w="1834"/>
        <w:gridCol w:w="644"/>
        <w:gridCol w:w="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565" w:type="dxa"/>
            <w:vMerge w:val="restart"/>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序号</w:t>
            </w:r>
          </w:p>
        </w:tc>
        <w:tc>
          <w:tcPr>
            <w:tcW w:w="2331" w:type="dxa"/>
            <w:vMerge w:val="restart"/>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检验项目</w:t>
            </w:r>
          </w:p>
        </w:tc>
        <w:tc>
          <w:tcPr>
            <w:tcW w:w="1628" w:type="dxa"/>
            <w:vMerge w:val="restart"/>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依据标准</w:t>
            </w:r>
            <w:r>
              <w:rPr>
                <w:rFonts w:ascii="宋体" w:hAnsi="宋体"/>
                <w:color w:val="000000"/>
                <w:sz w:val="21"/>
                <w:szCs w:val="21"/>
              </w:rPr>
              <w:t>/</w:t>
            </w:r>
            <w:r>
              <w:rPr>
                <w:rFonts w:hint="eastAsia" w:ascii="宋体" w:hAnsi="宋体"/>
                <w:color w:val="000000"/>
                <w:sz w:val="21"/>
                <w:szCs w:val="21"/>
              </w:rPr>
              <w:t>条款</w:t>
            </w:r>
          </w:p>
        </w:tc>
        <w:tc>
          <w:tcPr>
            <w:tcW w:w="1276" w:type="dxa"/>
            <w:vMerge w:val="restart"/>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强制性</w:t>
            </w:r>
            <w:r>
              <w:rPr>
                <w:rFonts w:ascii="宋体" w:hAnsi="宋体"/>
                <w:color w:val="000000"/>
                <w:sz w:val="21"/>
                <w:szCs w:val="21"/>
              </w:rPr>
              <w:t>/</w:t>
            </w:r>
          </w:p>
          <w:p>
            <w:pPr>
              <w:snapToGrid w:val="0"/>
              <w:spacing w:line="320" w:lineRule="exact"/>
              <w:jc w:val="center"/>
              <w:rPr>
                <w:rFonts w:ascii="宋体" w:hAnsi="宋体"/>
                <w:color w:val="000000"/>
                <w:sz w:val="21"/>
                <w:szCs w:val="21"/>
              </w:rPr>
            </w:pPr>
            <w:r>
              <w:rPr>
                <w:rFonts w:hint="eastAsia" w:ascii="宋体" w:hAnsi="宋体"/>
                <w:color w:val="000000"/>
                <w:sz w:val="21"/>
                <w:szCs w:val="21"/>
              </w:rPr>
              <w:t>推荐性</w:t>
            </w:r>
          </w:p>
        </w:tc>
        <w:tc>
          <w:tcPr>
            <w:tcW w:w="1834" w:type="dxa"/>
            <w:vMerge w:val="restart"/>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检测方法</w:t>
            </w:r>
          </w:p>
        </w:tc>
        <w:tc>
          <w:tcPr>
            <w:tcW w:w="1284" w:type="dxa"/>
            <w:gridSpan w:val="2"/>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重要程度分类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565" w:type="dxa"/>
            <w:vMerge w:val="continue"/>
            <w:noWrap w:val="0"/>
            <w:vAlign w:val="center"/>
          </w:tcPr>
          <w:p>
            <w:pPr>
              <w:widowControl/>
              <w:jc w:val="center"/>
              <w:rPr>
                <w:rFonts w:ascii="宋体" w:hAnsi="宋体"/>
                <w:color w:val="000000"/>
                <w:sz w:val="21"/>
                <w:szCs w:val="21"/>
              </w:rPr>
            </w:pPr>
          </w:p>
        </w:tc>
        <w:tc>
          <w:tcPr>
            <w:tcW w:w="2331" w:type="dxa"/>
            <w:vMerge w:val="continue"/>
            <w:noWrap w:val="0"/>
            <w:vAlign w:val="center"/>
          </w:tcPr>
          <w:p>
            <w:pPr>
              <w:widowControl/>
              <w:jc w:val="center"/>
              <w:rPr>
                <w:rFonts w:ascii="宋体" w:hAnsi="宋体"/>
                <w:color w:val="000000"/>
                <w:sz w:val="21"/>
                <w:szCs w:val="21"/>
              </w:rPr>
            </w:pPr>
          </w:p>
        </w:tc>
        <w:tc>
          <w:tcPr>
            <w:tcW w:w="1628" w:type="dxa"/>
            <w:vMerge w:val="continue"/>
            <w:noWrap w:val="0"/>
            <w:vAlign w:val="center"/>
          </w:tcPr>
          <w:p>
            <w:pPr>
              <w:widowControl/>
              <w:jc w:val="center"/>
              <w:rPr>
                <w:rFonts w:ascii="宋体" w:hAnsi="宋体"/>
                <w:color w:val="000000"/>
                <w:sz w:val="21"/>
                <w:szCs w:val="21"/>
              </w:rPr>
            </w:pPr>
          </w:p>
        </w:tc>
        <w:tc>
          <w:tcPr>
            <w:tcW w:w="1276" w:type="dxa"/>
            <w:vMerge w:val="continue"/>
            <w:noWrap w:val="0"/>
            <w:vAlign w:val="center"/>
          </w:tcPr>
          <w:p>
            <w:pPr>
              <w:widowControl/>
              <w:jc w:val="center"/>
              <w:rPr>
                <w:rFonts w:ascii="宋体" w:hAnsi="宋体"/>
                <w:color w:val="000000"/>
                <w:sz w:val="21"/>
                <w:szCs w:val="21"/>
              </w:rPr>
            </w:pPr>
          </w:p>
        </w:tc>
        <w:tc>
          <w:tcPr>
            <w:tcW w:w="1834" w:type="dxa"/>
            <w:vMerge w:val="continue"/>
            <w:noWrap w:val="0"/>
            <w:vAlign w:val="center"/>
          </w:tcPr>
          <w:p>
            <w:pPr>
              <w:widowControl/>
              <w:jc w:val="center"/>
              <w:rPr>
                <w:rFonts w:ascii="宋体" w:hAnsi="宋体"/>
                <w:color w:val="000000"/>
                <w:sz w:val="21"/>
                <w:szCs w:val="21"/>
              </w:rPr>
            </w:pPr>
          </w:p>
        </w:tc>
        <w:tc>
          <w:tcPr>
            <w:tcW w:w="644" w:type="dxa"/>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A</w:t>
            </w:r>
            <w:r>
              <w:rPr>
                <w:rFonts w:hint="eastAsia" w:ascii="宋体" w:hAnsi="宋体"/>
                <w:color w:val="000000"/>
                <w:sz w:val="21"/>
                <w:szCs w:val="21"/>
              </w:rPr>
              <w:t>类</w:t>
            </w:r>
          </w:p>
        </w:tc>
        <w:tc>
          <w:tcPr>
            <w:tcW w:w="640" w:type="dxa"/>
            <w:noWrap w:val="0"/>
            <w:vAlign w:val="top"/>
          </w:tcPr>
          <w:p>
            <w:pPr>
              <w:snapToGrid w:val="0"/>
              <w:spacing w:line="320" w:lineRule="exact"/>
              <w:jc w:val="center"/>
              <w:rPr>
                <w:rFonts w:ascii="宋体" w:hAnsi="宋体"/>
                <w:color w:val="000000"/>
                <w:sz w:val="21"/>
                <w:szCs w:val="21"/>
              </w:rPr>
            </w:pPr>
            <w:r>
              <w:rPr>
                <w:rFonts w:ascii="宋体" w:hAnsi="宋体"/>
                <w:color w:val="000000"/>
                <w:sz w:val="21"/>
                <w:szCs w:val="21"/>
              </w:rPr>
              <w:t>B</w:t>
            </w:r>
            <w:r>
              <w:rPr>
                <w:rFonts w:hint="eastAsia" w:ascii="宋体" w:hAnsi="宋体"/>
                <w:color w:val="000000"/>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1</w:t>
            </w:r>
          </w:p>
        </w:tc>
        <w:tc>
          <w:tcPr>
            <w:tcW w:w="2331" w:type="dxa"/>
            <w:noWrap w:val="0"/>
            <w:vAlign w:val="center"/>
          </w:tcPr>
          <w:p>
            <w:pPr>
              <w:snapToGrid w:val="0"/>
              <w:spacing w:line="500" w:lineRule="exact"/>
              <w:rPr>
                <w:rFonts w:hint="eastAsia" w:ascii="宋体" w:hAnsi="宋体" w:eastAsia="宋体"/>
                <w:sz w:val="21"/>
                <w:szCs w:val="21"/>
                <w:lang w:eastAsia="zh-CN"/>
              </w:rPr>
            </w:pPr>
            <w:r>
              <w:rPr>
                <w:rFonts w:hint="eastAsia" w:ascii="宋体" w:hAnsi="宋体"/>
                <w:sz w:val="21"/>
                <w:szCs w:val="21"/>
              </w:rPr>
              <w:t>外</w:t>
            </w:r>
            <w:r>
              <w:rPr>
                <w:rFonts w:hint="eastAsia" w:ascii="宋体" w:hAnsi="宋体"/>
                <w:sz w:val="21"/>
                <w:szCs w:val="21"/>
                <w:lang w:eastAsia="zh-CN"/>
              </w:rPr>
              <w:t>观</w:t>
            </w:r>
          </w:p>
        </w:tc>
        <w:tc>
          <w:tcPr>
            <w:tcW w:w="1628" w:type="dxa"/>
            <w:vMerge w:val="restart"/>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13171.1</w:t>
            </w:r>
          </w:p>
        </w:tc>
        <w:tc>
          <w:tcPr>
            <w:tcW w:w="1276" w:type="dxa"/>
            <w:vMerge w:val="restart"/>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推荐性</w:t>
            </w: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13171.1</w:t>
            </w:r>
          </w:p>
        </w:tc>
        <w:tc>
          <w:tcPr>
            <w:tcW w:w="644" w:type="dxa"/>
            <w:noWrap w:val="0"/>
            <w:vAlign w:val="center"/>
          </w:tcPr>
          <w:p>
            <w:pPr>
              <w:snapToGrid w:val="0"/>
              <w:spacing w:line="320" w:lineRule="exact"/>
              <w:jc w:val="center"/>
              <w:rPr>
                <w:rFonts w:ascii="宋体" w:hAnsi="宋体"/>
                <w:color w:val="000000"/>
                <w:sz w:val="21"/>
                <w:szCs w:val="21"/>
              </w:rPr>
            </w:pPr>
          </w:p>
        </w:tc>
        <w:tc>
          <w:tcPr>
            <w:tcW w:w="640" w:type="dxa"/>
            <w:noWrap w:val="0"/>
            <w:vAlign w:val="center"/>
          </w:tcPr>
          <w:p>
            <w:pPr>
              <w:snapToGrid w:val="0"/>
              <w:spacing w:line="320" w:lineRule="exact"/>
              <w:jc w:val="center"/>
              <w:rPr>
                <w:rFonts w:ascii="宋体" w:hAnsi="宋体"/>
                <w:color w:val="000000"/>
                <w:sz w:val="21"/>
                <w:szCs w:val="21"/>
              </w:rPr>
            </w:pP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2</w:t>
            </w:r>
          </w:p>
        </w:tc>
        <w:tc>
          <w:tcPr>
            <w:tcW w:w="2331" w:type="dxa"/>
            <w:noWrap w:val="0"/>
            <w:vAlign w:val="center"/>
          </w:tcPr>
          <w:p>
            <w:pPr>
              <w:snapToGrid w:val="0"/>
              <w:spacing w:line="500" w:lineRule="exact"/>
              <w:rPr>
                <w:rFonts w:hint="eastAsia" w:ascii="宋体" w:hAnsi="宋体"/>
                <w:sz w:val="21"/>
                <w:szCs w:val="21"/>
              </w:rPr>
            </w:pPr>
            <w:r>
              <w:rPr>
                <w:rFonts w:hint="eastAsia" w:ascii="宋体" w:hAnsi="宋体"/>
                <w:sz w:val="21"/>
                <w:szCs w:val="21"/>
              </w:rPr>
              <w:t>表观密度</w:t>
            </w:r>
          </w:p>
        </w:tc>
        <w:tc>
          <w:tcPr>
            <w:tcW w:w="1628" w:type="dxa"/>
            <w:vMerge w:val="continue"/>
            <w:noWrap w:val="0"/>
            <w:vAlign w:val="center"/>
          </w:tcPr>
          <w:p>
            <w:pPr>
              <w:snapToGrid w:val="0"/>
              <w:spacing w:line="500" w:lineRule="exact"/>
              <w:jc w:val="center"/>
              <w:rPr>
                <w:rFonts w:hint="eastAsia" w:ascii="宋体" w:hAnsi="宋体"/>
                <w:sz w:val="21"/>
                <w:szCs w:val="21"/>
              </w:rPr>
            </w:pPr>
          </w:p>
        </w:tc>
        <w:tc>
          <w:tcPr>
            <w:tcW w:w="1276" w:type="dxa"/>
            <w:vMerge w:val="continue"/>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13173</w:t>
            </w:r>
          </w:p>
        </w:tc>
        <w:tc>
          <w:tcPr>
            <w:tcW w:w="644" w:type="dxa"/>
            <w:noWrap w:val="0"/>
            <w:vAlign w:val="center"/>
          </w:tcPr>
          <w:p>
            <w:pPr>
              <w:snapToGrid w:val="0"/>
              <w:spacing w:line="320" w:lineRule="exact"/>
              <w:jc w:val="center"/>
              <w:rPr>
                <w:rFonts w:ascii="宋体" w:hAnsi="宋体"/>
                <w:color w:val="000000"/>
                <w:sz w:val="21"/>
                <w:szCs w:val="21"/>
              </w:rPr>
            </w:pPr>
          </w:p>
        </w:tc>
        <w:tc>
          <w:tcPr>
            <w:tcW w:w="640" w:type="dxa"/>
            <w:noWrap w:val="0"/>
            <w:vAlign w:val="center"/>
          </w:tcPr>
          <w:p>
            <w:pPr>
              <w:snapToGrid w:val="0"/>
              <w:spacing w:line="320" w:lineRule="exact"/>
              <w:jc w:val="center"/>
              <w:rPr>
                <w:rFonts w:ascii="宋体" w:hAnsi="宋体"/>
                <w:color w:val="000000"/>
                <w:sz w:val="21"/>
                <w:szCs w:val="21"/>
              </w:rPr>
            </w:pP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3</w:t>
            </w:r>
          </w:p>
        </w:tc>
        <w:tc>
          <w:tcPr>
            <w:tcW w:w="2331" w:type="dxa"/>
            <w:noWrap w:val="0"/>
            <w:vAlign w:val="center"/>
          </w:tcPr>
          <w:p>
            <w:pPr>
              <w:snapToGrid w:val="0"/>
              <w:spacing w:line="500" w:lineRule="exact"/>
              <w:rPr>
                <w:rFonts w:hint="eastAsia" w:ascii="宋体" w:hAnsi="宋体" w:eastAsia="宋体"/>
                <w:sz w:val="21"/>
                <w:szCs w:val="21"/>
                <w:lang w:eastAsia="zh-CN"/>
              </w:rPr>
            </w:pPr>
            <w:r>
              <w:rPr>
                <w:rFonts w:hint="eastAsia" w:ascii="宋体" w:hAnsi="宋体"/>
                <w:sz w:val="21"/>
                <w:szCs w:val="21"/>
              </w:rPr>
              <w:t>总活性物</w:t>
            </w:r>
            <w:r>
              <w:rPr>
                <w:rFonts w:hint="eastAsia" w:ascii="宋体" w:hAnsi="宋体"/>
                <w:sz w:val="21"/>
                <w:szCs w:val="21"/>
                <w:lang w:eastAsia="zh-CN"/>
              </w:rPr>
              <w:t>质量分数</w:t>
            </w:r>
          </w:p>
        </w:tc>
        <w:tc>
          <w:tcPr>
            <w:tcW w:w="1628" w:type="dxa"/>
            <w:vMerge w:val="continue"/>
            <w:noWrap w:val="0"/>
            <w:vAlign w:val="center"/>
          </w:tcPr>
          <w:p>
            <w:pPr>
              <w:snapToGrid w:val="0"/>
              <w:spacing w:line="500" w:lineRule="exact"/>
              <w:jc w:val="center"/>
              <w:rPr>
                <w:rFonts w:hint="eastAsia" w:ascii="宋体" w:hAnsi="宋体"/>
                <w:sz w:val="21"/>
                <w:szCs w:val="21"/>
              </w:rPr>
            </w:pPr>
          </w:p>
        </w:tc>
        <w:tc>
          <w:tcPr>
            <w:tcW w:w="1276" w:type="dxa"/>
            <w:vMerge w:val="continue"/>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13173</w:t>
            </w:r>
          </w:p>
        </w:tc>
        <w:tc>
          <w:tcPr>
            <w:tcW w:w="644" w:type="dxa"/>
            <w:noWrap w:val="0"/>
            <w:vAlign w:val="center"/>
          </w:tcPr>
          <w:p>
            <w:pPr>
              <w:spacing w:line="320" w:lineRule="exact"/>
              <w:jc w:val="center"/>
              <w:rPr>
                <w:rFonts w:ascii="宋体" w:hAnsi="宋体"/>
                <w:sz w:val="21"/>
                <w:szCs w:val="21"/>
              </w:rPr>
            </w:pPr>
          </w:p>
        </w:tc>
        <w:tc>
          <w:tcPr>
            <w:tcW w:w="640" w:type="dxa"/>
            <w:noWrap w:val="0"/>
            <w:vAlign w:val="center"/>
          </w:tcPr>
          <w:p>
            <w:pPr>
              <w:spacing w:line="320" w:lineRule="exact"/>
              <w:jc w:val="center"/>
              <w:rPr>
                <w:rFonts w:ascii="宋体" w:hAnsi="宋体"/>
                <w:sz w:val="21"/>
                <w:szCs w:val="21"/>
              </w:rPr>
            </w:pP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4</w:t>
            </w:r>
          </w:p>
        </w:tc>
        <w:tc>
          <w:tcPr>
            <w:tcW w:w="2331" w:type="dxa"/>
            <w:noWrap w:val="0"/>
            <w:vAlign w:val="center"/>
          </w:tcPr>
          <w:p>
            <w:pPr>
              <w:snapToGrid w:val="0"/>
              <w:spacing w:line="500" w:lineRule="exact"/>
              <w:rPr>
                <w:rFonts w:hint="eastAsia" w:ascii="宋体" w:hAnsi="宋体" w:eastAsia="宋体"/>
                <w:sz w:val="21"/>
                <w:szCs w:val="21"/>
                <w:lang w:eastAsia="zh-CN"/>
              </w:rPr>
            </w:pPr>
            <w:r>
              <w:rPr>
                <w:rFonts w:hint="eastAsia" w:ascii="宋体" w:hAnsi="宋体"/>
                <w:sz w:val="21"/>
                <w:szCs w:val="21"/>
              </w:rPr>
              <w:t>总五氧化二磷</w:t>
            </w:r>
            <w:r>
              <w:rPr>
                <w:rFonts w:hint="eastAsia" w:ascii="宋体" w:hAnsi="宋体"/>
                <w:sz w:val="21"/>
                <w:szCs w:val="21"/>
                <w:lang w:eastAsia="zh-CN"/>
              </w:rPr>
              <w:t>质量分数</w:t>
            </w:r>
          </w:p>
        </w:tc>
        <w:tc>
          <w:tcPr>
            <w:tcW w:w="1628" w:type="dxa"/>
            <w:vMerge w:val="continue"/>
            <w:noWrap w:val="0"/>
            <w:vAlign w:val="center"/>
          </w:tcPr>
          <w:p>
            <w:pPr>
              <w:snapToGrid w:val="0"/>
              <w:spacing w:line="500" w:lineRule="exact"/>
              <w:jc w:val="center"/>
              <w:rPr>
                <w:rFonts w:hint="eastAsia" w:ascii="宋体" w:hAnsi="宋体"/>
                <w:sz w:val="21"/>
                <w:szCs w:val="21"/>
              </w:rPr>
            </w:pPr>
          </w:p>
        </w:tc>
        <w:tc>
          <w:tcPr>
            <w:tcW w:w="1276" w:type="dxa"/>
            <w:vMerge w:val="continue"/>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13173</w:t>
            </w:r>
          </w:p>
        </w:tc>
        <w:tc>
          <w:tcPr>
            <w:tcW w:w="644" w:type="dxa"/>
            <w:noWrap w:val="0"/>
            <w:vAlign w:val="center"/>
          </w:tcPr>
          <w:p>
            <w:pPr>
              <w:spacing w:line="320" w:lineRule="exact"/>
              <w:jc w:val="center"/>
              <w:rPr>
                <w:rFonts w:ascii="宋体" w:hAnsi="宋体"/>
                <w:sz w:val="21"/>
                <w:szCs w:val="21"/>
              </w:rPr>
            </w:pPr>
            <w:r>
              <w:rPr>
                <w:rFonts w:hint="eastAsia" w:ascii="宋体" w:hAnsi="宋体"/>
                <w:sz w:val="21"/>
                <w:szCs w:val="21"/>
              </w:rPr>
              <w:t>●</w:t>
            </w:r>
          </w:p>
        </w:tc>
        <w:tc>
          <w:tcPr>
            <w:tcW w:w="640" w:type="dxa"/>
            <w:noWrap w:val="0"/>
            <w:vAlign w:val="top"/>
          </w:tcPr>
          <w:p>
            <w:pPr>
              <w:spacing w:line="320" w:lineRule="exact"/>
              <w:jc w:val="center"/>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5</w:t>
            </w:r>
          </w:p>
        </w:tc>
        <w:tc>
          <w:tcPr>
            <w:tcW w:w="2331" w:type="dxa"/>
            <w:noWrap w:val="0"/>
            <w:vAlign w:val="center"/>
          </w:tcPr>
          <w:p>
            <w:pPr>
              <w:snapToGrid w:val="0"/>
              <w:spacing w:line="500" w:lineRule="exact"/>
              <w:rPr>
                <w:rFonts w:hint="eastAsia" w:ascii="宋体" w:hAnsi="宋体"/>
                <w:sz w:val="21"/>
                <w:szCs w:val="21"/>
              </w:rPr>
            </w:pPr>
            <w:r>
              <w:rPr>
                <w:rFonts w:hint="eastAsia" w:ascii="宋体" w:hAnsi="宋体"/>
                <w:sz w:val="21"/>
                <w:szCs w:val="21"/>
              </w:rPr>
              <w:t>游离碱</w:t>
            </w:r>
            <w:r>
              <w:rPr>
                <w:rFonts w:hint="eastAsia" w:ascii="宋体" w:hAnsi="宋体" w:cs="宋体"/>
                <w:kern w:val="2"/>
                <w:sz w:val="21"/>
                <w:szCs w:val="21"/>
              </w:rPr>
              <w:t>（以NaOH计）质量分数</w:t>
            </w:r>
          </w:p>
        </w:tc>
        <w:tc>
          <w:tcPr>
            <w:tcW w:w="1628" w:type="dxa"/>
            <w:vMerge w:val="continue"/>
            <w:noWrap w:val="0"/>
            <w:vAlign w:val="center"/>
          </w:tcPr>
          <w:p>
            <w:pPr>
              <w:snapToGrid w:val="0"/>
              <w:spacing w:line="500" w:lineRule="exact"/>
              <w:jc w:val="center"/>
              <w:rPr>
                <w:rFonts w:hint="eastAsia" w:ascii="宋体" w:hAnsi="宋体"/>
                <w:sz w:val="21"/>
                <w:szCs w:val="21"/>
              </w:rPr>
            </w:pPr>
          </w:p>
        </w:tc>
        <w:tc>
          <w:tcPr>
            <w:tcW w:w="1276" w:type="dxa"/>
            <w:vMerge w:val="continue"/>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13171.1</w:t>
            </w:r>
          </w:p>
        </w:tc>
        <w:tc>
          <w:tcPr>
            <w:tcW w:w="644" w:type="dxa"/>
            <w:noWrap w:val="0"/>
            <w:vAlign w:val="center"/>
          </w:tcPr>
          <w:p>
            <w:pPr>
              <w:spacing w:line="320" w:lineRule="exact"/>
              <w:jc w:val="center"/>
              <w:rPr>
                <w:rFonts w:ascii="宋体" w:hAnsi="宋体"/>
                <w:sz w:val="21"/>
                <w:szCs w:val="21"/>
              </w:rPr>
            </w:pPr>
            <w:r>
              <w:rPr>
                <w:rFonts w:hint="eastAsia" w:ascii="宋体" w:hAnsi="宋体"/>
                <w:sz w:val="21"/>
                <w:szCs w:val="21"/>
              </w:rPr>
              <w:t>●</w:t>
            </w:r>
          </w:p>
        </w:tc>
        <w:tc>
          <w:tcPr>
            <w:tcW w:w="640" w:type="dxa"/>
            <w:noWrap w:val="0"/>
            <w:vAlign w:val="center"/>
          </w:tcPr>
          <w:p>
            <w:pPr>
              <w:spacing w:line="320" w:lineRule="exact"/>
              <w:jc w:val="center"/>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6</w:t>
            </w:r>
          </w:p>
        </w:tc>
        <w:tc>
          <w:tcPr>
            <w:tcW w:w="2331" w:type="dxa"/>
            <w:noWrap w:val="0"/>
            <w:vAlign w:val="center"/>
          </w:tcPr>
          <w:p>
            <w:pPr>
              <w:snapToGrid w:val="0"/>
              <w:spacing w:line="500" w:lineRule="exact"/>
              <w:rPr>
                <w:rFonts w:hint="eastAsia" w:ascii="宋体" w:hAnsi="宋体" w:eastAsia="宋体"/>
                <w:sz w:val="21"/>
                <w:szCs w:val="21"/>
                <w:lang w:eastAsia="zh-CN"/>
              </w:rPr>
            </w:pPr>
            <w:r>
              <w:rPr>
                <w:rFonts w:hint="eastAsia" w:ascii="宋体" w:hAnsi="宋体"/>
                <w:sz w:val="21"/>
                <w:szCs w:val="21"/>
              </w:rPr>
              <w:t>pH值</w:t>
            </w:r>
            <w:r>
              <w:rPr>
                <w:rFonts w:hint="eastAsia" w:ascii="宋体" w:hAnsi="宋体"/>
                <w:sz w:val="21"/>
                <w:szCs w:val="21"/>
                <w:lang w:eastAsia="zh-CN"/>
              </w:rPr>
              <w:t>（</w:t>
            </w:r>
            <w:r>
              <w:rPr>
                <w:rFonts w:hint="eastAsia" w:ascii="宋体" w:hAnsi="宋体"/>
                <w:sz w:val="21"/>
                <w:szCs w:val="21"/>
                <w:lang w:val="en-US" w:eastAsia="zh-CN"/>
              </w:rPr>
              <w:t>25</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,0.1%溶液</w:t>
            </w:r>
            <w:r>
              <w:rPr>
                <w:rFonts w:hint="eastAsia" w:ascii="宋体" w:hAnsi="宋体"/>
                <w:sz w:val="21"/>
                <w:szCs w:val="21"/>
                <w:lang w:eastAsia="zh-CN"/>
              </w:rPr>
              <w:t>）</w:t>
            </w:r>
          </w:p>
        </w:tc>
        <w:tc>
          <w:tcPr>
            <w:tcW w:w="1628" w:type="dxa"/>
            <w:vMerge w:val="continue"/>
            <w:noWrap w:val="0"/>
            <w:vAlign w:val="center"/>
          </w:tcPr>
          <w:p>
            <w:pPr>
              <w:snapToGrid w:val="0"/>
              <w:spacing w:line="500" w:lineRule="exact"/>
              <w:jc w:val="center"/>
              <w:rPr>
                <w:rFonts w:hint="eastAsia" w:ascii="宋体" w:hAnsi="宋体"/>
                <w:sz w:val="21"/>
                <w:szCs w:val="21"/>
              </w:rPr>
            </w:pPr>
          </w:p>
        </w:tc>
        <w:tc>
          <w:tcPr>
            <w:tcW w:w="1276" w:type="dxa"/>
            <w:vMerge w:val="continue"/>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6368</w:t>
            </w:r>
          </w:p>
        </w:tc>
        <w:tc>
          <w:tcPr>
            <w:tcW w:w="644" w:type="dxa"/>
            <w:noWrap w:val="0"/>
            <w:vAlign w:val="center"/>
          </w:tcPr>
          <w:p>
            <w:pPr>
              <w:spacing w:line="320" w:lineRule="exact"/>
              <w:jc w:val="center"/>
              <w:rPr>
                <w:rFonts w:ascii="宋体" w:hAnsi="宋体"/>
                <w:sz w:val="21"/>
                <w:szCs w:val="21"/>
              </w:rPr>
            </w:pPr>
            <w:r>
              <w:rPr>
                <w:rFonts w:hint="eastAsia" w:ascii="宋体" w:hAnsi="宋体"/>
                <w:sz w:val="21"/>
                <w:szCs w:val="21"/>
              </w:rPr>
              <w:t>●</w:t>
            </w:r>
          </w:p>
        </w:tc>
        <w:tc>
          <w:tcPr>
            <w:tcW w:w="640" w:type="dxa"/>
            <w:noWrap w:val="0"/>
            <w:vAlign w:val="center"/>
          </w:tcPr>
          <w:p>
            <w:pPr>
              <w:snapToGrid w:val="0"/>
              <w:spacing w:line="320" w:lineRule="exact"/>
              <w:jc w:val="center"/>
              <w:rPr>
                <w:rFonts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7</w:t>
            </w:r>
          </w:p>
        </w:tc>
        <w:tc>
          <w:tcPr>
            <w:tcW w:w="2331" w:type="dxa"/>
            <w:noWrap w:val="0"/>
            <w:vAlign w:val="center"/>
          </w:tcPr>
          <w:p>
            <w:pPr>
              <w:snapToGrid w:val="0"/>
              <w:spacing w:line="500" w:lineRule="exact"/>
              <w:rPr>
                <w:rFonts w:hint="eastAsia" w:ascii="宋体" w:hAnsi="宋体"/>
                <w:sz w:val="21"/>
                <w:szCs w:val="21"/>
              </w:rPr>
            </w:pPr>
            <w:r>
              <w:rPr>
                <w:rFonts w:hint="eastAsia" w:ascii="宋体" w:hAnsi="宋体"/>
                <w:sz w:val="21"/>
                <w:szCs w:val="21"/>
              </w:rPr>
              <w:t>规定污布的去污力</w:t>
            </w:r>
          </w:p>
        </w:tc>
        <w:tc>
          <w:tcPr>
            <w:tcW w:w="1628" w:type="dxa"/>
            <w:vMerge w:val="continue"/>
            <w:noWrap w:val="0"/>
            <w:vAlign w:val="center"/>
          </w:tcPr>
          <w:p>
            <w:pPr>
              <w:snapToGrid w:val="0"/>
              <w:spacing w:line="500" w:lineRule="exact"/>
              <w:jc w:val="center"/>
              <w:rPr>
                <w:rFonts w:hint="eastAsia" w:ascii="宋体" w:hAnsi="宋体"/>
                <w:sz w:val="21"/>
                <w:szCs w:val="21"/>
              </w:rPr>
            </w:pPr>
          </w:p>
        </w:tc>
        <w:tc>
          <w:tcPr>
            <w:tcW w:w="1276" w:type="dxa"/>
            <w:vMerge w:val="continue"/>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13174</w:t>
            </w:r>
          </w:p>
        </w:tc>
        <w:tc>
          <w:tcPr>
            <w:tcW w:w="644" w:type="dxa"/>
            <w:noWrap w:val="0"/>
            <w:vAlign w:val="center"/>
          </w:tcPr>
          <w:p>
            <w:pPr>
              <w:spacing w:line="320" w:lineRule="exact"/>
              <w:jc w:val="center"/>
              <w:rPr>
                <w:rFonts w:ascii="宋体" w:hAnsi="宋体"/>
                <w:sz w:val="21"/>
                <w:szCs w:val="21"/>
              </w:rPr>
            </w:pPr>
            <w:r>
              <w:rPr>
                <w:rFonts w:hint="eastAsia" w:ascii="宋体" w:hAnsi="宋体"/>
                <w:sz w:val="21"/>
                <w:szCs w:val="21"/>
              </w:rPr>
              <w:t>●</w:t>
            </w:r>
          </w:p>
        </w:tc>
        <w:tc>
          <w:tcPr>
            <w:tcW w:w="640" w:type="dxa"/>
            <w:noWrap w:val="0"/>
            <w:vAlign w:val="center"/>
          </w:tcPr>
          <w:p>
            <w:pPr>
              <w:spacing w:line="320" w:lineRule="exact"/>
              <w:jc w:val="center"/>
              <w:rPr>
                <w:rFonts w:ascii="宋体" w:hAnsi="宋体"/>
                <w:sz w:val="21"/>
                <w:szCs w:val="21"/>
              </w:rPr>
            </w:pPr>
          </w:p>
        </w:tc>
      </w:tr>
    </w:tbl>
    <w:p>
      <w:pPr>
        <w:rPr>
          <w:rFonts w:hint="eastAsia"/>
          <w:sz w:val="21"/>
          <w:szCs w:val="21"/>
        </w:rPr>
      </w:pPr>
    </w:p>
    <w:p>
      <w:pPr>
        <w:pStyle w:val="12"/>
        <w:numPr>
          <w:ilvl w:val="0"/>
          <w:numId w:val="0"/>
        </w:numPr>
        <w:tabs>
          <w:tab w:val="left" w:pos="686"/>
        </w:tabs>
        <w:spacing w:before="171" w:after="0" w:line="240" w:lineRule="auto"/>
        <w:ind w:left="103" w:leftChars="0" w:right="0" w:rightChars="0"/>
        <w:jc w:val="both"/>
        <w:rPr>
          <w:sz w:val="21"/>
          <w:szCs w:val="21"/>
        </w:rPr>
      </w:pPr>
      <w:r>
        <w:rPr>
          <w:rFonts w:hint="eastAsia"/>
          <w:spacing w:val="-6"/>
          <w:sz w:val="21"/>
          <w:szCs w:val="21"/>
          <w:lang w:val="en-US" w:eastAsia="zh-CN"/>
        </w:rPr>
        <w:t xml:space="preserve">6.1.2  </w:t>
      </w:r>
      <w:r>
        <w:rPr>
          <w:rFonts w:hint="eastAsia" w:ascii="宋体" w:hAnsi="宋体"/>
          <w:bCs/>
          <w:sz w:val="21"/>
          <w:szCs w:val="21"/>
        </w:rPr>
        <w:t>洗衣粉（无磷型）</w:t>
      </w:r>
      <w:r>
        <w:rPr>
          <w:spacing w:val="-6"/>
          <w:sz w:val="21"/>
          <w:szCs w:val="21"/>
        </w:rPr>
        <w:t xml:space="preserve">产品检验项目及重要程度分类见表 </w:t>
      </w:r>
      <w:r>
        <w:rPr>
          <w:rFonts w:hint="eastAsia"/>
          <w:sz w:val="21"/>
          <w:szCs w:val="21"/>
          <w:lang w:val="en-US" w:eastAsia="zh-CN"/>
        </w:rPr>
        <w:t>2</w:t>
      </w:r>
      <w:r>
        <w:rPr>
          <w:sz w:val="21"/>
          <w:szCs w:val="21"/>
        </w:rPr>
        <w:t>。</w:t>
      </w:r>
    </w:p>
    <w:p>
      <w:pPr>
        <w:spacing w:line="360" w:lineRule="auto"/>
        <w:ind w:firstLine="420" w:firstLineChars="200"/>
        <w:rPr>
          <w:rFonts w:ascii="宋体" w:hAnsi="宋体"/>
          <w:bCs/>
          <w:sz w:val="21"/>
          <w:szCs w:val="21"/>
        </w:rPr>
      </w:pPr>
      <w:r>
        <w:rPr>
          <w:rFonts w:hint="eastAsia" w:ascii="宋体" w:hAnsi="宋体"/>
          <w:bCs/>
          <w:sz w:val="21"/>
          <w:szCs w:val="21"/>
          <w:lang w:eastAsia="zh-CN"/>
        </w:rPr>
        <w:t>表</w:t>
      </w:r>
      <w:r>
        <w:rPr>
          <w:rFonts w:hint="eastAsia" w:ascii="宋体" w:hAnsi="宋体"/>
          <w:bCs/>
          <w:sz w:val="21"/>
          <w:szCs w:val="21"/>
        </w:rPr>
        <w:t>2、洗衣粉（无磷型）</w:t>
      </w:r>
      <w:r>
        <w:rPr>
          <w:rFonts w:ascii="宋体" w:hAnsi="宋体"/>
          <w:bCs/>
          <w:sz w:val="21"/>
          <w:szCs w:val="21"/>
        </w:rPr>
        <w:t>检验项目及</w:t>
      </w:r>
      <w:r>
        <w:rPr>
          <w:rFonts w:hint="eastAsia" w:ascii="宋体" w:hAnsi="宋体"/>
          <w:bCs/>
          <w:sz w:val="21"/>
          <w:szCs w:val="21"/>
        </w:rPr>
        <w:t>重要程度</w:t>
      </w:r>
      <w:r>
        <w:rPr>
          <w:rFonts w:ascii="宋体" w:hAnsi="宋体"/>
          <w:bCs/>
          <w:sz w:val="21"/>
          <w:szCs w:val="21"/>
        </w:rPr>
        <w:t>分类</w:t>
      </w:r>
    </w:p>
    <w:tbl>
      <w:tblPr>
        <w:tblStyle w:val="7"/>
        <w:tblW w:w="8918" w:type="dxa"/>
        <w:jc w:val="center"/>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5"/>
        <w:gridCol w:w="2349"/>
        <w:gridCol w:w="1610"/>
        <w:gridCol w:w="1276"/>
        <w:gridCol w:w="1834"/>
        <w:gridCol w:w="644"/>
        <w:gridCol w:w="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565" w:type="dxa"/>
            <w:vMerge w:val="restart"/>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序号</w:t>
            </w:r>
          </w:p>
        </w:tc>
        <w:tc>
          <w:tcPr>
            <w:tcW w:w="2349" w:type="dxa"/>
            <w:vMerge w:val="restart"/>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检验项目</w:t>
            </w:r>
          </w:p>
        </w:tc>
        <w:tc>
          <w:tcPr>
            <w:tcW w:w="1610" w:type="dxa"/>
            <w:vMerge w:val="restart"/>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依据标准</w:t>
            </w:r>
            <w:r>
              <w:rPr>
                <w:rFonts w:ascii="宋体" w:hAnsi="宋体"/>
                <w:color w:val="000000"/>
                <w:sz w:val="21"/>
                <w:szCs w:val="21"/>
              </w:rPr>
              <w:t>/</w:t>
            </w:r>
            <w:r>
              <w:rPr>
                <w:rFonts w:hint="eastAsia" w:ascii="宋体" w:hAnsi="宋体"/>
                <w:color w:val="000000"/>
                <w:sz w:val="21"/>
                <w:szCs w:val="21"/>
              </w:rPr>
              <w:t>条款</w:t>
            </w:r>
          </w:p>
        </w:tc>
        <w:tc>
          <w:tcPr>
            <w:tcW w:w="1276" w:type="dxa"/>
            <w:vMerge w:val="restart"/>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强制性</w:t>
            </w:r>
            <w:r>
              <w:rPr>
                <w:rFonts w:ascii="宋体" w:hAnsi="宋体"/>
                <w:color w:val="000000"/>
                <w:sz w:val="21"/>
                <w:szCs w:val="21"/>
              </w:rPr>
              <w:t>/</w:t>
            </w:r>
          </w:p>
          <w:p>
            <w:pPr>
              <w:snapToGrid w:val="0"/>
              <w:spacing w:line="320" w:lineRule="exact"/>
              <w:jc w:val="center"/>
              <w:rPr>
                <w:rFonts w:ascii="宋体" w:hAnsi="宋体"/>
                <w:color w:val="000000"/>
                <w:sz w:val="21"/>
                <w:szCs w:val="21"/>
              </w:rPr>
            </w:pPr>
            <w:r>
              <w:rPr>
                <w:rFonts w:hint="eastAsia" w:ascii="宋体" w:hAnsi="宋体"/>
                <w:color w:val="000000"/>
                <w:sz w:val="21"/>
                <w:szCs w:val="21"/>
              </w:rPr>
              <w:t>推荐性</w:t>
            </w:r>
          </w:p>
        </w:tc>
        <w:tc>
          <w:tcPr>
            <w:tcW w:w="1834" w:type="dxa"/>
            <w:vMerge w:val="restart"/>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检测方法</w:t>
            </w:r>
          </w:p>
        </w:tc>
        <w:tc>
          <w:tcPr>
            <w:tcW w:w="1284" w:type="dxa"/>
            <w:gridSpan w:val="2"/>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重要程度分类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565" w:type="dxa"/>
            <w:vMerge w:val="continue"/>
            <w:noWrap w:val="0"/>
            <w:vAlign w:val="center"/>
          </w:tcPr>
          <w:p>
            <w:pPr>
              <w:widowControl/>
              <w:jc w:val="center"/>
              <w:rPr>
                <w:rFonts w:ascii="宋体" w:hAnsi="宋体"/>
                <w:color w:val="000000"/>
                <w:sz w:val="21"/>
                <w:szCs w:val="21"/>
              </w:rPr>
            </w:pPr>
          </w:p>
        </w:tc>
        <w:tc>
          <w:tcPr>
            <w:tcW w:w="2349" w:type="dxa"/>
            <w:vMerge w:val="continue"/>
            <w:noWrap w:val="0"/>
            <w:vAlign w:val="center"/>
          </w:tcPr>
          <w:p>
            <w:pPr>
              <w:widowControl/>
              <w:jc w:val="center"/>
              <w:rPr>
                <w:rFonts w:ascii="宋体" w:hAnsi="宋体"/>
                <w:color w:val="000000"/>
                <w:sz w:val="21"/>
                <w:szCs w:val="21"/>
              </w:rPr>
            </w:pPr>
          </w:p>
        </w:tc>
        <w:tc>
          <w:tcPr>
            <w:tcW w:w="1610" w:type="dxa"/>
            <w:vMerge w:val="continue"/>
            <w:noWrap w:val="0"/>
            <w:vAlign w:val="center"/>
          </w:tcPr>
          <w:p>
            <w:pPr>
              <w:widowControl/>
              <w:jc w:val="center"/>
              <w:rPr>
                <w:rFonts w:ascii="宋体" w:hAnsi="宋体"/>
                <w:color w:val="000000"/>
                <w:sz w:val="21"/>
                <w:szCs w:val="21"/>
              </w:rPr>
            </w:pPr>
          </w:p>
        </w:tc>
        <w:tc>
          <w:tcPr>
            <w:tcW w:w="1276" w:type="dxa"/>
            <w:vMerge w:val="continue"/>
            <w:noWrap w:val="0"/>
            <w:vAlign w:val="center"/>
          </w:tcPr>
          <w:p>
            <w:pPr>
              <w:widowControl/>
              <w:jc w:val="center"/>
              <w:rPr>
                <w:rFonts w:ascii="宋体" w:hAnsi="宋体"/>
                <w:color w:val="000000"/>
                <w:sz w:val="21"/>
                <w:szCs w:val="21"/>
              </w:rPr>
            </w:pPr>
          </w:p>
        </w:tc>
        <w:tc>
          <w:tcPr>
            <w:tcW w:w="1834" w:type="dxa"/>
            <w:vMerge w:val="continue"/>
            <w:noWrap w:val="0"/>
            <w:vAlign w:val="center"/>
          </w:tcPr>
          <w:p>
            <w:pPr>
              <w:widowControl/>
              <w:jc w:val="center"/>
              <w:rPr>
                <w:rFonts w:ascii="宋体" w:hAnsi="宋体"/>
                <w:color w:val="000000"/>
                <w:sz w:val="21"/>
                <w:szCs w:val="21"/>
              </w:rPr>
            </w:pPr>
          </w:p>
        </w:tc>
        <w:tc>
          <w:tcPr>
            <w:tcW w:w="644" w:type="dxa"/>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A</w:t>
            </w:r>
            <w:r>
              <w:rPr>
                <w:rFonts w:hint="eastAsia" w:ascii="宋体" w:hAnsi="宋体"/>
                <w:color w:val="000000"/>
                <w:sz w:val="21"/>
                <w:szCs w:val="21"/>
              </w:rPr>
              <w:t>类</w:t>
            </w:r>
          </w:p>
        </w:tc>
        <w:tc>
          <w:tcPr>
            <w:tcW w:w="640" w:type="dxa"/>
            <w:noWrap w:val="0"/>
            <w:vAlign w:val="top"/>
          </w:tcPr>
          <w:p>
            <w:pPr>
              <w:snapToGrid w:val="0"/>
              <w:spacing w:line="320" w:lineRule="exact"/>
              <w:jc w:val="center"/>
              <w:rPr>
                <w:rFonts w:ascii="宋体" w:hAnsi="宋体"/>
                <w:color w:val="000000"/>
                <w:sz w:val="21"/>
                <w:szCs w:val="21"/>
              </w:rPr>
            </w:pPr>
            <w:r>
              <w:rPr>
                <w:rFonts w:ascii="宋体" w:hAnsi="宋体"/>
                <w:color w:val="000000"/>
                <w:sz w:val="21"/>
                <w:szCs w:val="21"/>
              </w:rPr>
              <w:t>B</w:t>
            </w:r>
            <w:r>
              <w:rPr>
                <w:rFonts w:hint="eastAsia" w:ascii="宋体" w:hAnsi="宋体"/>
                <w:color w:val="000000"/>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shd w:val="clear" w:color="auto" w:fill="auto"/>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1</w:t>
            </w:r>
          </w:p>
        </w:tc>
        <w:tc>
          <w:tcPr>
            <w:tcW w:w="2349" w:type="dxa"/>
            <w:shd w:val="clear" w:color="auto" w:fill="auto"/>
            <w:noWrap w:val="0"/>
            <w:vAlign w:val="center"/>
          </w:tcPr>
          <w:p>
            <w:pPr>
              <w:snapToGrid w:val="0"/>
              <w:spacing w:line="500" w:lineRule="exact"/>
              <w:rPr>
                <w:rFonts w:hint="eastAsia" w:ascii="宋体" w:hAnsi="宋体"/>
                <w:sz w:val="21"/>
                <w:szCs w:val="21"/>
              </w:rPr>
            </w:pPr>
            <w:r>
              <w:rPr>
                <w:rFonts w:hint="eastAsia" w:ascii="宋体" w:hAnsi="宋体"/>
                <w:sz w:val="21"/>
                <w:szCs w:val="21"/>
              </w:rPr>
              <w:t>外观</w:t>
            </w:r>
          </w:p>
        </w:tc>
        <w:tc>
          <w:tcPr>
            <w:tcW w:w="1610" w:type="dxa"/>
            <w:vMerge w:val="restart"/>
            <w:shd w:val="clear" w:color="auto" w:fill="auto"/>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13171.2</w:t>
            </w:r>
          </w:p>
          <w:p>
            <w:pPr>
              <w:snapToGrid w:val="0"/>
              <w:spacing w:line="500" w:lineRule="exact"/>
              <w:jc w:val="center"/>
              <w:rPr>
                <w:rFonts w:hint="eastAsia" w:ascii="宋体" w:hAnsi="宋体"/>
                <w:sz w:val="21"/>
                <w:szCs w:val="21"/>
              </w:rPr>
            </w:pPr>
          </w:p>
        </w:tc>
        <w:tc>
          <w:tcPr>
            <w:tcW w:w="1276" w:type="dxa"/>
            <w:vMerge w:val="restart"/>
            <w:shd w:val="clear" w:color="auto" w:fill="auto"/>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推荐性</w:t>
            </w:r>
          </w:p>
          <w:p>
            <w:pPr>
              <w:snapToGrid w:val="0"/>
              <w:spacing w:line="500" w:lineRule="exact"/>
              <w:jc w:val="both"/>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13171.2</w:t>
            </w:r>
          </w:p>
        </w:tc>
        <w:tc>
          <w:tcPr>
            <w:tcW w:w="644" w:type="dxa"/>
            <w:noWrap w:val="0"/>
            <w:vAlign w:val="center"/>
          </w:tcPr>
          <w:p>
            <w:pPr>
              <w:snapToGrid w:val="0"/>
              <w:spacing w:line="320" w:lineRule="exact"/>
              <w:jc w:val="center"/>
              <w:rPr>
                <w:rFonts w:ascii="宋体" w:hAnsi="宋体"/>
                <w:color w:val="000000"/>
                <w:sz w:val="21"/>
                <w:szCs w:val="21"/>
              </w:rPr>
            </w:pPr>
          </w:p>
        </w:tc>
        <w:tc>
          <w:tcPr>
            <w:tcW w:w="640" w:type="dxa"/>
            <w:noWrap w:val="0"/>
            <w:vAlign w:val="center"/>
          </w:tcPr>
          <w:p>
            <w:pPr>
              <w:snapToGrid w:val="0"/>
              <w:spacing w:line="320" w:lineRule="exact"/>
              <w:jc w:val="center"/>
              <w:rPr>
                <w:rFonts w:ascii="宋体" w:hAnsi="宋体"/>
                <w:color w:val="000000"/>
                <w:sz w:val="21"/>
                <w:szCs w:val="21"/>
              </w:rPr>
            </w:pP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shd w:val="clear" w:color="auto" w:fill="auto"/>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2</w:t>
            </w:r>
          </w:p>
        </w:tc>
        <w:tc>
          <w:tcPr>
            <w:tcW w:w="2349" w:type="dxa"/>
            <w:shd w:val="clear" w:color="auto" w:fill="auto"/>
            <w:noWrap w:val="0"/>
            <w:vAlign w:val="center"/>
          </w:tcPr>
          <w:p>
            <w:pPr>
              <w:snapToGrid w:val="0"/>
              <w:spacing w:line="500" w:lineRule="exact"/>
              <w:rPr>
                <w:rFonts w:hint="eastAsia" w:ascii="宋体" w:hAnsi="宋体"/>
                <w:sz w:val="21"/>
                <w:szCs w:val="21"/>
              </w:rPr>
            </w:pPr>
            <w:r>
              <w:rPr>
                <w:rFonts w:hint="eastAsia" w:ascii="宋体" w:hAnsi="宋体"/>
                <w:sz w:val="21"/>
                <w:szCs w:val="21"/>
              </w:rPr>
              <w:t>表观密度</w:t>
            </w:r>
          </w:p>
        </w:tc>
        <w:tc>
          <w:tcPr>
            <w:tcW w:w="1610" w:type="dxa"/>
            <w:vMerge w:val="continue"/>
            <w:shd w:val="clear" w:color="auto" w:fill="auto"/>
            <w:noWrap w:val="0"/>
            <w:vAlign w:val="center"/>
          </w:tcPr>
          <w:p>
            <w:pPr>
              <w:snapToGrid w:val="0"/>
              <w:spacing w:line="500" w:lineRule="exact"/>
              <w:jc w:val="center"/>
              <w:rPr>
                <w:rFonts w:hint="eastAsia" w:ascii="宋体" w:hAnsi="宋体"/>
                <w:sz w:val="21"/>
                <w:szCs w:val="21"/>
              </w:rPr>
            </w:pPr>
          </w:p>
        </w:tc>
        <w:tc>
          <w:tcPr>
            <w:tcW w:w="1276" w:type="dxa"/>
            <w:vMerge w:val="continue"/>
            <w:shd w:val="clear" w:color="auto" w:fill="auto"/>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13173</w:t>
            </w:r>
          </w:p>
        </w:tc>
        <w:tc>
          <w:tcPr>
            <w:tcW w:w="644" w:type="dxa"/>
            <w:noWrap w:val="0"/>
            <w:vAlign w:val="center"/>
          </w:tcPr>
          <w:p>
            <w:pPr>
              <w:snapToGrid w:val="0"/>
              <w:spacing w:line="320" w:lineRule="exact"/>
              <w:jc w:val="center"/>
              <w:rPr>
                <w:rFonts w:ascii="宋体" w:hAnsi="宋体"/>
                <w:color w:val="000000"/>
                <w:sz w:val="21"/>
                <w:szCs w:val="21"/>
              </w:rPr>
            </w:pPr>
          </w:p>
        </w:tc>
        <w:tc>
          <w:tcPr>
            <w:tcW w:w="640" w:type="dxa"/>
            <w:noWrap w:val="0"/>
            <w:vAlign w:val="center"/>
          </w:tcPr>
          <w:p>
            <w:pPr>
              <w:snapToGrid w:val="0"/>
              <w:spacing w:line="320" w:lineRule="exact"/>
              <w:jc w:val="center"/>
              <w:rPr>
                <w:rFonts w:ascii="宋体" w:hAnsi="宋体"/>
                <w:color w:val="000000"/>
                <w:sz w:val="21"/>
                <w:szCs w:val="21"/>
              </w:rPr>
            </w:pP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shd w:val="clear" w:color="auto" w:fill="auto"/>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3</w:t>
            </w:r>
          </w:p>
        </w:tc>
        <w:tc>
          <w:tcPr>
            <w:tcW w:w="2349" w:type="dxa"/>
            <w:shd w:val="clear" w:color="auto" w:fill="auto"/>
            <w:noWrap w:val="0"/>
            <w:vAlign w:val="center"/>
          </w:tcPr>
          <w:p>
            <w:pPr>
              <w:snapToGrid w:val="0"/>
              <w:spacing w:line="500" w:lineRule="exact"/>
              <w:rPr>
                <w:rFonts w:hint="eastAsia" w:ascii="宋体" w:hAnsi="宋体"/>
                <w:sz w:val="21"/>
                <w:szCs w:val="21"/>
              </w:rPr>
            </w:pPr>
            <w:r>
              <w:rPr>
                <w:rFonts w:hint="eastAsia" w:ascii="宋体" w:hAnsi="宋体"/>
                <w:sz w:val="21"/>
                <w:szCs w:val="21"/>
              </w:rPr>
              <w:t>总活性物</w:t>
            </w:r>
            <w:r>
              <w:rPr>
                <w:rFonts w:hint="eastAsia" w:ascii="宋体" w:hAnsi="宋体"/>
                <w:sz w:val="21"/>
                <w:szCs w:val="21"/>
                <w:lang w:eastAsia="zh-CN"/>
              </w:rPr>
              <w:t>质量分数</w:t>
            </w:r>
          </w:p>
        </w:tc>
        <w:tc>
          <w:tcPr>
            <w:tcW w:w="1610" w:type="dxa"/>
            <w:vMerge w:val="continue"/>
            <w:shd w:val="clear" w:color="auto" w:fill="auto"/>
            <w:noWrap w:val="0"/>
            <w:vAlign w:val="center"/>
          </w:tcPr>
          <w:p>
            <w:pPr>
              <w:snapToGrid w:val="0"/>
              <w:spacing w:line="500" w:lineRule="exact"/>
              <w:jc w:val="center"/>
              <w:rPr>
                <w:rFonts w:hint="eastAsia" w:ascii="宋体" w:hAnsi="宋体"/>
                <w:sz w:val="21"/>
                <w:szCs w:val="21"/>
              </w:rPr>
            </w:pPr>
          </w:p>
        </w:tc>
        <w:tc>
          <w:tcPr>
            <w:tcW w:w="1276" w:type="dxa"/>
            <w:vMerge w:val="continue"/>
            <w:shd w:val="clear" w:color="auto" w:fill="auto"/>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13173</w:t>
            </w:r>
          </w:p>
        </w:tc>
        <w:tc>
          <w:tcPr>
            <w:tcW w:w="644" w:type="dxa"/>
            <w:noWrap w:val="0"/>
            <w:vAlign w:val="center"/>
          </w:tcPr>
          <w:p>
            <w:pPr>
              <w:spacing w:line="320" w:lineRule="exact"/>
              <w:jc w:val="center"/>
              <w:rPr>
                <w:rFonts w:ascii="宋体" w:hAnsi="宋体"/>
                <w:sz w:val="21"/>
                <w:szCs w:val="21"/>
              </w:rPr>
            </w:pPr>
          </w:p>
        </w:tc>
        <w:tc>
          <w:tcPr>
            <w:tcW w:w="640" w:type="dxa"/>
            <w:noWrap w:val="0"/>
            <w:vAlign w:val="center"/>
          </w:tcPr>
          <w:p>
            <w:pPr>
              <w:spacing w:line="320" w:lineRule="exact"/>
              <w:jc w:val="center"/>
              <w:rPr>
                <w:rFonts w:ascii="宋体" w:hAnsi="宋体"/>
                <w:sz w:val="21"/>
                <w:szCs w:val="21"/>
              </w:rPr>
            </w:pP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shd w:val="clear" w:color="auto" w:fill="auto"/>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4</w:t>
            </w:r>
          </w:p>
        </w:tc>
        <w:tc>
          <w:tcPr>
            <w:tcW w:w="2349" w:type="dxa"/>
            <w:shd w:val="clear" w:color="auto" w:fill="auto"/>
            <w:noWrap w:val="0"/>
            <w:vAlign w:val="center"/>
          </w:tcPr>
          <w:p>
            <w:pPr>
              <w:snapToGrid w:val="0"/>
              <w:spacing w:line="500" w:lineRule="exact"/>
              <w:rPr>
                <w:rFonts w:hint="eastAsia" w:ascii="宋体" w:hAnsi="宋体"/>
                <w:sz w:val="21"/>
                <w:szCs w:val="21"/>
              </w:rPr>
            </w:pPr>
            <w:r>
              <w:rPr>
                <w:rFonts w:hint="eastAsia" w:ascii="宋体" w:hAnsi="宋体"/>
                <w:sz w:val="21"/>
                <w:szCs w:val="21"/>
              </w:rPr>
              <w:t>总五氧化二磷</w:t>
            </w:r>
            <w:r>
              <w:rPr>
                <w:rFonts w:hint="eastAsia" w:ascii="宋体" w:hAnsi="宋体"/>
                <w:sz w:val="21"/>
                <w:szCs w:val="21"/>
                <w:lang w:eastAsia="zh-CN"/>
              </w:rPr>
              <w:t>质量分数</w:t>
            </w:r>
          </w:p>
        </w:tc>
        <w:tc>
          <w:tcPr>
            <w:tcW w:w="1610" w:type="dxa"/>
            <w:vMerge w:val="continue"/>
            <w:shd w:val="clear" w:color="auto" w:fill="auto"/>
            <w:noWrap w:val="0"/>
            <w:vAlign w:val="center"/>
          </w:tcPr>
          <w:p>
            <w:pPr>
              <w:snapToGrid w:val="0"/>
              <w:spacing w:line="500" w:lineRule="exact"/>
              <w:jc w:val="center"/>
              <w:rPr>
                <w:rFonts w:hint="eastAsia" w:ascii="宋体" w:hAnsi="宋体"/>
                <w:sz w:val="21"/>
                <w:szCs w:val="21"/>
              </w:rPr>
            </w:pPr>
          </w:p>
        </w:tc>
        <w:tc>
          <w:tcPr>
            <w:tcW w:w="1276" w:type="dxa"/>
            <w:vMerge w:val="continue"/>
            <w:shd w:val="clear" w:color="auto" w:fill="auto"/>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13173</w:t>
            </w:r>
          </w:p>
        </w:tc>
        <w:tc>
          <w:tcPr>
            <w:tcW w:w="644" w:type="dxa"/>
            <w:noWrap w:val="0"/>
            <w:vAlign w:val="center"/>
          </w:tcPr>
          <w:p>
            <w:pPr>
              <w:spacing w:line="320" w:lineRule="exact"/>
              <w:jc w:val="center"/>
              <w:rPr>
                <w:rFonts w:ascii="宋体" w:hAnsi="宋体"/>
                <w:sz w:val="21"/>
                <w:szCs w:val="21"/>
              </w:rPr>
            </w:pPr>
            <w:r>
              <w:rPr>
                <w:rFonts w:hint="eastAsia" w:ascii="宋体" w:hAnsi="宋体"/>
                <w:sz w:val="21"/>
                <w:szCs w:val="21"/>
              </w:rPr>
              <w:t>●</w:t>
            </w:r>
          </w:p>
        </w:tc>
        <w:tc>
          <w:tcPr>
            <w:tcW w:w="640" w:type="dxa"/>
            <w:noWrap w:val="0"/>
            <w:vAlign w:val="top"/>
          </w:tcPr>
          <w:p>
            <w:pPr>
              <w:spacing w:line="320" w:lineRule="exact"/>
              <w:jc w:val="center"/>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shd w:val="clear" w:color="auto" w:fill="auto"/>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5</w:t>
            </w:r>
          </w:p>
        </w:tc>
        <w:tc>
          <w:tcPr>
            <w:tcW w:w="2349" w:type="dxa"/>
            <w:shd w:val="clear" w:color="auto" w:fill="auto"/>
            <w:noWrap w:val="0"/>
            <w:vAlign w:val="center"/>
          </w:tcPr>
          <w:p>
            <w:pPr>
              <w:snapToGrid w:val="0"/>
              <w:spacing w:line="500" w:lineRule="exact"/>
              <w:rPr>
                <w:rFonts w:hint="eastAsia" w:ascii="宋体" w:hAnsi="宋体"/>
                <w:sz w:val="21"/>
                <w:szCs w:val="21"/>
              </w:rPr>
            </w:pPr>
            <w:r>
              <w:rPr>
                <w:rFonts w:hint="eastAsia" w:ascii="宋体" w:hAnsi="宋体"/>
                <w:sz w:val="21"/>
                <w:szCs w:val="21"/>
              </w:rPr>
              <w:t>游离碱</w:t>
            </w:r>
            <w:r>
              <w:rPr>
                <w:rFonts w:hint="eastAsia" w:ascii="宋体" w:hAnsi="宋体" w:cs="宋体"/>
                <w:kern w:val="2"/>
                <w:sz w:val="21"/>
                <w:szCs w:val="21"/>
              </w:rPr>
              <w:t>（以NaOH计）质量分数</w:t>
            </w:r>
          </w:p>
        </w:tc>
        <w:tc>
          <w:tcPr>
            <w:tcW w:w="1610" w:type="dxa"/>
            <w:vMerge w:val="continue"/>
            <w:shd w:val="clear" w:color="auto" w:fill="auto"/>
            <w:noWrap w:val="0"/>
            <w:vAlign w:val="center"/>
          </w:tcPr>
          <w:p>
            <w:pPr>
              <w:snapToGrid w:val="0"/>
              <w:spacing w:line="500" w:lineRule="exact"/>
              <w:jc w:val="center"/>
              <w:rPr>
                <w:rFonts w:hint="eastAsia" w:ascii="宋体" w:hAnsi="宋体"/>
                <w:sz w:val="21"/>
                <w:szCs w:val="21"/>
              </w:rPr>
            </w:pPr>
          </w:p>
        </w:tc>
        <w:tc>
          <w:tcPr>
            <w:tcW w:w="1276" w:type="dxa"/>
            <w:vMerge w:val="continue"/>
            <w:shd w:val="clear" w:color="auto" w:fill="auto"/>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13171.2</w:t>
            </w:r>
          </w:p>
        </w:tc>
        <w:tc>
          <w:tcPr>
            <w:tcW w:w="644" w:type="dxa"/>
            <w:noWrap w:val="0"/>
            <w:vAlign w:val="center"/>
          </w:tcPr>
          <w:p>
            <w:pPr>
              <w:spacing w:line="320" w:lineRule="exact"/>
              <w:jc w:val="center"/>
              <w:rPr>
                <w:rFonts w:ascii="宋体" w:hAnsi="宋体"/>
                <w:sz w:val="21"/>
                <w:szCs w:val="21"/>
              </w:rPr>
            </w:pPr>
            <w:r>
              <w:rPr>
                <w:rFonts w:hint="eastAsia" w:ascii="宋体" w:hAnsi="宋体"/>
                <w:sz w:val="21"/>
                <w:szCs w:val="21"/>
              </w:rPr>
              <w:t>●</w:t>
            </w:r>
          </w:p>
        </w:tc>
        <w:tc>
          <w:tcPr>
            <w:tcW w:w="640" w:type="dxa"/>
            <w:noWrap w:val="0"/>
            <w:vAlign w:val="center"/>
          </w:tcPr>
          <w:p>
            <w:pPr>
              <w:spacing w:line="320" w:lineRule="exact"/>
              <w:jc w:val="center"/>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shd w:val="clear" w:color="auto" w:fill="auto"/>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6</w:t>
            </w:r>
          </w:p>
        </w:tc>
        <w:tc>
          <w:tcPr>
            <w:tcW w:w="2349" w:type="dxa"/>
            <w:shd w:val="clear" w:color="auto" w:fill="auto"/>
            <w:noWrap w:val="0"/>
            <w:vAlign w:val="center"/>
          </w:tcPr>
          <w:p>
            <w:pPr>
              <w:snapToGrid w:val="0"/>
              <w:spacing w:line="500" w:lineRule="exact"/>
              <w:rPr>
                <w:rFonts w:hint="eastAsia" w:ascii="宋体" w:hAnsi="宋体"/>
                <w:sz w:val="21"/>
                <w:szCs w:val="21"/>
              </w:rPr>
            </w:pPr>
            <w:r>
              <w:rPr>
                <w:rFonts w:hint="eastAsia" w:ascii="宋体" w:hAnsi="宋体"/>
                <w:sz w:val="21"/>
                <w:szCs w:val="21"/>
              </w:rPr>
              <w:t>pH值</w:t>
            </w:r>
            <w:r>
              <w:rPr>
                <w:rFonts w:hint="eastAsia" w:ascii="宋体" w:hAnsi="宋体"/>
                <w:sz w:val="21"/>
                <w:szCs w:val="21"/>
                <w:lang w:eastAsia="zh-CN"/>
              </w:rPr>
              <w:t>（</w:t>
            </w:r>
            <w:r>
              <w:rPr>
                <w:rFonts w:hint="eastAsia" w:ascii="宋体" w:hAnsi="宋体"/>
                <w:sz w:val="21"/>
                <w:szCs w:val="21"/>
                <w:lang w:val="en-US" w:eastAsia="zh-CN"/>
              </w:rPr>
              <w:t>25</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,0.1%溶液</w:t>
            </w:r>
            <w:r>
              <w:rPr>
                <w:rFonts w:hint="eastAsia" w:ascii="宋体" w:hAnsi="宋体"/>
                <w:sz w:val="21"/>
                <w:szCs w:val="21"/>
                <w:lang w:eastAsia="zh-CN"/>
              </w:rPr>
              <w:t>）</w:t>
            </w:r>
          </w:p>
        </w:tc>
        <w:tc>
          <w:tcPr>
            <w:tcW w:w="1610" w:type="dxa"/>
            <w:vMerge w:val="continue"/>
            <w:shd w:val="clear" w:color="auto" w:fill="auto"/>
            <w:noWrap w:val="0"/>
            <w:vAlign w:val="center"/>
          </w:tcPr>
          <w:p>
            <w:pPr>
              <w:snapToGrid w:val="0"/>
              <w:spacing w:line="500" w:lineRule="exact"/>
              <w:jc w:val="center"/>
              <w:rPr>
                <w:rFonts w:hint="eastAsia" w:ascii="宋体" w:hAnsi="宋体"/>
                <w:sz w:val="21"/>
                <w:szCs w:val="21"/>
              </w:rPr>
            </w:pPr>
          </w:p>
        </w:tc>
        <w:tc>
          <w:tcPr>
            <w:tcW w:w="1276" w:type="dxa"/>
            <w:vMerge w:val="continue"/>
            <w:shd w:val="clear" w:color="auto" w:fill="auto"/>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6368</w:t>
            </w:r>
          </w:p>
        </w:tc>
        <w:tc>
          <w:tcPr>
            <w:tcW w:w="644" w:type="dxa"/>
            <w:noWrap w:val="0"/>
            <w:vAlign w:val="center"/>
          </w:tcPr>
          <w:p>
            <w:pPr>
              <w:spacing w:line="320" w:lineRule="exact"/>
              <w:jc w:val="center"/>
              <w:rPr>
                <w:rFonts w:ascii="宋体" w:hAnsi="宋体"/>
                <w:sz w:val="21"/>
                <w:szCs w:val="21"/>
              </w:rPr>
            </w:pPr>
            <w:r>
              <w:rPr>
                <w:rFonts w:hint="eastAsia" w:ascii="宋体" w:hAnsi="宋体"/>
                <w:sz w:val="21"/>
                <w:szCs w:val="21"/>
              </w:rPr>
              <w:t>●</w:t>
            </w:r>
          </w:p>
        </w:tc>
        <w:tc>
          <w:tcPr>
            <w:tcW w:w="640" w:type="dxa"/>
            <w:noWrap w:val="0"/>
            <w:vAlign w:val="center"/>
          </w:tcPr>
          <w:p>
            <w:pPr>
              <w:snapToGrid w:val="0"/>
              <w:spacing w:line="320" w:lineRule="exact"/>
              <w:jc w:val="center"/>
              <w:rPr>
                <w:rFonts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shd w:val="clear" w:color="auto" w:fill="auto"/>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7</w:t>
            </w:r>
          </w:p>
        </w:tc>
        <w:tc>
          <w:tcPr>
            <w:tcW w:w="2349" w:type="dxa"/>
            <w:shd w:val="clear" w:color="auto" w:fill="auto"/>
            <w:noWrap w:val="0"/>
            <w:vAlign w:val="center"/>
          </w:tcPr>
          <w:p>
            <w:pPr>
              <w:snapToGrid w:val="0"/>
              <w:spacing w:line="500" w:lineRule="exact"/>
              <w:rPr>
                <w:rFonts w:hint="eastAsia" w:ascii="宋体" w:hAnsi="宋体"/>
                <w:sz w:val="21"/>
                <w:szCs w:val="21"/>
              </w:rPr>
            </w:pPr>
            <w:r>
              <w:rPr>
                <w:rFonts w:hint="eastAsia" w:ascii="宋体" w:hAnsi="宋体"/>
                <w:sz w:val="21"/>
                <w:szCs w:val="21"/>
              </w:rPr>
              <w:t>规定污布的去污力</w:t>
            </w:r>
          </w:p>
        </w:tc>
        <w:tc>
          <w:tcPr>
            <w:tcW w:w="1610" w:type="dxa"/>
            <w:vMerge w:val="continue"/>
            <w:shd w:val="clear" w:color="auto" w:fill="auto"/>
            <w:noWrap w:val="0"/>
            <w:vAlign w:val="center"/>
          </w:tcPr>
          <w:p>
            <w:pPr>
              <w:snapToGrid w:val="0"/>
              <w:spacing w:line="500" w:lineRule="exact"/>
              <w:jc w:val="center"/>
              <w:rPr>
                <w:rFonts w:hint="eastAsia" w:ascii="宋体" w:hAnsi="宋体"/>
                <w:sz w:val="21"/>
                <w:szCs w:val="21"/>
              </w:rPr>
            </w:pPr>
          </w:p>
        </w:tc>
        <w:tc>
          <w:tcPr>
            <w:tcW w:w="1276" w:type="dxa"/>
            <w:vMerge w:val="continue"/>
            <w:shd w:val="clear" w:color="auto" w:fill="auto"/>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13174</w:t>
            </w:r>
          </w:p>
        </w:tc>
        <w:tc>
          <w:tcPr>
            <w:tcW w:w="644" w:type="dxa"/>
            <w:noWrap w:val="0"/>
            <w:vAlign w:val="center"/>
          </w:tcPr>
          <w:p>
            <w:pPr>
              <w:spacing w:line="320" w:lineRule="exact"/>
              <w:jc w:val="center"/>
              <w:rPr>
                <w:rFonts w:ascii="宋体" w:hAnsi="宋体"/>
                <w:sz w:val="21"/>
                <w:szCs w:val="21"/>
              </w:rPr>
            </w:pPr>
            <w:r>
              <w:rPr>
                <w:rFonts w:hint="eastAsia" w:ascii="宋体" w:hAnsi="宋体"/>
                <w:sz w:val="21"/>
                <w:szCs w:val="21"/>
              </w:rPr>
              <w:t>●</w:t>
            </w:r>
          </w:p>
        </w:tc>
        <w:tc>
          <w:tcPr>
            <w:tcW w:w="640" w:type="dxa"/>
            <w:noWrap w:val="0"/>
            <w:vAlign w:val="center"/>
          </w:tcPr>
          <w:p>
            <w:pPr>
              <w:spacing w:line="320" w:lineRule="exact"/>
              <w:jc w:val="center"/>
              <w:rPr>
                <w:rFonts w:ascii="宋体" w:hAnsi="宋体"/>
                <w:sz w:val="21"/>
                <w:szCs w:val="21"/>
              </w:rPr>
            </w:pPr>
          </w:p>
        </w:tc>
      </w:tr>
    </w:tbl>
    <w:p>
      <w:pPr>
        <w:spacing w:before="75" w:line="456" w:lineRule="auto"/>
        <w:ind w:left="104" w:right="154" w:firstLine="271"/>
        <w:jc w:val="both"/>
        <w:rPr>
          <w:sz w:val="21"/>
          <w:szCs w:val="21"/>
        </w:rPr>
      </w:pPr>
      <w:r>
        <w:rPr>
          <w:spacing w:val="-23"/>
          <w:sz w:val="21"/>
          <w:szCs w:val="21"/>
        </w:rPr>
        <w:t xml:space="preserve">注 </w:t>
      </w:r>
      <w:r>
        <w:rPr>
          <w:sz w:val="21"/>
          <w:szCs w:val="21"/>
        </w:rPr>
        <w:t>1</w:t>
      </w:r>
      <w:r>
        <w:rPr>
          <w:spacing w:val="-2"/>
          <w:sz w:val="21"/>
          <w:szCs w:val="21"/>
        </w:rPr>
        <w:t>：极重要质量项目是指直接涉及人体健康、使用安全的指标；重要质量项目是指产品涉及环保、能效、</w:t>
      </w:r>
      <w:r>
        <w:rPr>
          <w:sz w:val="21"/>
          <w:szCs w:val="21"/>
        </w:rPr>
        <w:t>关键性能或特征值的指标。</w:t>
      </w:r>
    </w:p>
    <w:p>
      <w:pPr>
        <w:spacing w:before="2" w:line="458" w:lineRule="auto"/>
        <w:ind w:left="104" w:right="221" w:firstLine="271"/>
        <w:jc w:val="both"/>
        <w:rPr>
          <w:sz w:val="21"/>
          <w:szCs w:val="21"/>
        </w:rPr>
      </w:pPr>
      <w:r>
        <w:rPr>
          <w:spacing w:val="-23"/>
          <w:sz w:val="21"/>
          <w:szCs w:val="21"/>
        </w:rPr>
        <w:t xml:space="preserve">注 </w:t>
      </w:r>
      <w:r>
        <w:rPr>
          <w:spacing w:val="-6"/>
          <w:sz w:val="21"/>
          <w:szCs w:val="21"/>
        </w:rPr>
        <w:t>2</w:t>
      </w:r>
      <w:r>
        <w:rPr>
          <w:spacing w:val="-17"/>
          <w:sz w:val="21"/>
          <w:szCs w:val="21"/>
        </w:rPr>
        <w:t xml:space="preserve">：表 </w:t>
      </w:r>
      <w:r>
        <w:rPr>
          <w:sz w:val="21"/>
          <w:szCs w:val="21"/>
        </w:rPr>
        <w:t>1</w:t>
      </w:r>
      <w:r>
        <w:rPr>
          <w:spacing w:val="-24"/>
          <w:sz w:val="21"/>
          <w:szCs w:val="21"/>
        </w:rPr>
        <w:t xml:space="preserve"> 和表 </w:t>
      </w:r>
      <w:r>
        <w:rPr>
          <w:sz w:val="21"/>
          <w:szCs w:val="21"/>
        </w:rPr>
        <w:t>2</w:t>
      </w:r>
      <w:r>
        <w:rPr>
          <w:spacing w:val="-11"/>
          <w:sz w:val="21"/>
          <w:szCs w:val="21"/>
        </w:rPr>
        <w:t xml:space="preserve"> 所列检验项目是有关法律法规、标准等规定的，重点涉及健康、安全、节能、环保以及消费者、有关组织反映有质量问题的重要项目。</w:t>
      </w:r>
    </w:p>
    <w:p>
      <w:pPr>
        <w:pStyle w:val="12"/>
        <w:numPr>
          <w:ilvl w:val="0"/>
          <w:numId w:val="0"/>
        </w:numPr>
        <w:tabs>
          <w:tab w:val="left" w:pos="474"/>
        </w:tabs>
        <w:spacing w:before="0" w:after="0" w:line="239" w:lineRule="exact"/>
        <w:ind w:left="104" w:leftChars="0" w:right="0" w:rightChars="0"/>
        <w:jc w:val="both"/>
        <w:rPr>
          <w:sz w:val="21"/>
          <w:szCs w:val="21"/>
        </w:rPr>
      </w:pPr>
      <w:r>
        <w:rPr>
          <w:rFonts w:hint="eastAsia"/>
          <w:spacing w:val="-3"/>
          <w:sz w:val="21"/>
          <w:szCs w:val="21"/>
          <w:lang w:val="en-US" w:eastAsia="zh-CN"/>
        </w:rPr>
        <w:t>6.2</w:t>
      </w:r>
      <w:r>
        <w:rPr>
          <w:spacing w:val="-3"/>
          <w:sz w:val="21"/>
          <w:szCs w:val="21"/>
        </w:rPr>
        <w:t>检验应注意的问题</w:t>
      </w:r>
    </w:p>
    <w:p>
      <w:pPr>
        <w:pStyle w:val="12"/>
        <w:numPr>
          <w:ilvl w:val="0"/>
          <w:numId w:val="0"/>
        </w:numPr>
        <w:tabs>
          <w:tab w:val="left" w:pos="738"/>
        </w:tabs>
        <w:spacing w:before="170" w:after="0" w:line="393" w:lineRule="auto"/>
        <w:ind w:left="104" w:leftChars="0" w:right="215" w:rightChars="0"/>
        <w:jc w:val="both"/>
        <w:rPr>
          <w:sz w:val="21"/>
          <w:szCs w:val="21"/>
        </w:rPr>
      </w:pPr>
      <w:r>
        <w:rPr>
          <w:rFonts w:hint="eastAsia"/>
          <w:spacing w:val="-3"/>
          <w:sz w:val="21"/>
          <w:szCs w:val="21"/>
          <w:lang w:val="en-US" w:eastAsia="zh-CN"/>
        </w:rPr>
        <w:t>6.2.1</w:t>
      </w:r>
      <w:r>
        <w:rPr>
          <w:spacing w:val="-3"/>
          <w:sz w:val="21"/>
          <w:szCs w:val="21"/>
        </w:rPr>
        <w:t>洗衣粉中总五氧化二磷含量指标有比色法和重量法两种检验方法，含磷型优先采用重量法，无磷型采用比色法。</w:t>
      </w:r>
    </w:p>
    <w:p>
      <w:pPr>
        <w:pStyle w:val="12"/>
        <w:numPr>
          <w:ilvl w:val="0"/>
          <w:numId w:val="0"/>
        </w:numPr>
        <w:tabs>
          <w:tab w:val="left" w:pos="738"/>
        </w:tabs>
        <w:spacing w:before="0" w:after="0" w:line="393" w:lineRule="auto"/>
        <w:ind w:left="104" w:leftChars="0" w:right="215" w:rightChars="0"/>
        <w:jc w:val="both"/>
        <w:rPr>
          <w:sz w:val="21"/>
          <w:szCs w:val="21"/>
        </w:rPr>
      </w:pPr>
      <w:r>
        <w:rPr>
          <w:rFonts w:hint="eastAsia"/>
          <w:spacing w:val="-3"/>
          <w:sz w:val="21"/>
          <w:szCs w:val="21"/>
          <w:lang w:val="en-US" w:eastAsia="zh-CN"/>
        </w:rPr>
        <w:t>6.2.2</w:t>
      </w:r>
      <w:r>
        <w:rPr>
          <w:rFonts w:hint="eastAsia" w:ascii="宋体" w:hAnsi="宋体"/>
          <w:szCs w:val="21"/>
        </w:rPr>
        <w:t>若被检产品明示的质量要求高于本细则中检验项目依据的</w:t>
      </w:r>
      <w:r>
        <w:rPr>
          <w:rFonts w:hint="eastAsia"/>
          <w:szCs w:val="21"/>
          <w:lang w:eastAsia="zh-CN"/>
        </w:rPr>
        <w:t>推荐性</w:t>
      </w:r>
      <w:r>
        <w:rPr>
          <w:rFonts w:hint="eastAsia" w:ascii="宋体" w:hAnsi="宋体"/>
          <w:szCs w:val="21"/>
        </w:rPr>
        <w:t>标准要求时，应按被检产品明示的质量要求判定；若被检产品明示的质量要求低于或包含细则中检验项目依据的推荐性标准要求时，应以被检产品明示的质量要求判定；若被检产品明示的质量要求缺少本细则中检验项目依据的推荐性标准要求时，该项目不参与判定，但应在检验报告备注中进行说明。</w:t>
      </w:r>
    </w:p>
    <w:p>
      <w:pPr>
        <w:spacing w:after="0"/>
        <w:rPr>
          <w:sz w:val="21"/>
          <w:szCs w:val="21"/>
        </w:rPr>
      </w:pPr>
    </w:p>
    <w:p>
      <w:pPr>
        <w:pStyle w:val="2"/>
        <w:numPr>
          <w:ilvl w:val="0"/>
          <w:numId w:val="2"/>
        </w:numPr>
        <w:tabs>
          <w:tab w:val="left" w:pos="422"/>
        </w:tabs>
        <w:spacing w:before="0" w:after="0" w:line="308" w:lineRule="exact"/>
        <w:ind w:left="421" w:right="0" w:hanging="318"/>
        <w:jc w:val="both"/>
        <w:rPr>
          <w:sz w:val="21"/>
          <w:szCs w:val="21"/>
        </w:rPr>
      </w:pPr>
      <w:r>
        <w:rPr>
          <w:sz w:val="21"/>
          <w:szCs w:val="21"/>
        </w:rPr>
        <w:t>判定原则</w:t>
      </w:r>
    </w:p>
    <w:p>
      <w:pPr>
        <w:pStyle w:val="3"/>
        <w:spacing w:before="123" w:line="391" w:lineRule="auto"/>
        <w:ind w:right="215" w:firstLine="419"/>
        <w:jc w:val="both"/>
        <w:rPr>
          <w:sz w:val="21"/>
          <w:szCs w:val="21"/>
        </w:rPr>
      </w:pPr>
      <w:r>
        <w:rPr>
          <w:spacing w:val="-3"/>
          <w:sz w:val="21"/>
          <w:szCs w:val="21"/>
        </w:rPr>
        <w:t>经检验，检验项目全部合格，判定为被抽查产品合格；检验项目中任一项或一项以上不合</w:t>
      </w:r>
      <w:r>
        <w:rPr>
          <w:spacing w:val="-5"/>
          <w:sz w:val="21"/>
          <w:szCs w:val="21"/>
        </w:rPr>
        <w:t xml:space="preserve">格，判定为被抽查产品不合格。当产品存在 </w:t>
      </w:r>
      <w:r>
        <w:rPr>
          <w:sz w:val="21"/>
          <w:szCs w:val="21"/>
        </w:rPr>
        <w:t>A</w:t>
      </w:r>
      <w:r>
        <w:rPr>
          <w:spacing w:val="-7"/>
          <w:sz w:val="21"/>
          <w:szCs w:val="21"/>
        </w:rPr>
        <w:t xml:space="preserve"> 类项目不合格时，属于严重不合格；当产品仅有B</w:t>
      </w:r>
      <w:r>
        <w:rPr>
          <w:spacing w:val="-9"/>
          <w:sz w:val="21"/>
          <w:szCs w:val="21"/>
        </w:rPr>
        <w:t xml:space="preserve"> 类项目不合格时，属于一般不合格。</w:t>
      </w:r>
    </w:p>
    <w:p>
      <w:pPr>
        <w:snapToGrid w:val="0"/>
        <w:spacing w:line="440" w:lineRule="exact"/>
        <w:rPr>
          <w:rFonts w:ascii="黑体" w:hAnsi="黑体" w:eastAsia="黑体" w:cs="Sim Sun"/>
          <w:b/>
          <w:bCs/>
          <w:kern w:val="0"/>
          <w:szCs w:val="21"/>
        </w:rPr>
      </w:pPr>
      <w:r>
        <w:rPr>
          <w:rFonts w:hint="eastAsia" w:ascii="黑体" w:hAnsi="黑体" w:eastAsia="黑体" w:cs="Sim Sun"/>
          <w:b/>
          <w:bCs/>
          <w:kern w:val="0"/>
          <w:szCs w:val="21"/>
          <w:lang w:val="en-US" w:eastAsia="zh-CN"/>
        </w:rPr>
        <w:t>8</w:t>
      </w:r>
      <w:r>
        <w:rPr>
          <w:rFonts w:hint="eastAsia" w:ascii="黑体" w:hAnsi="黑体" w:eastAsia="黑体" w:cs="Sim Sun"/>
          <w:b/>
          <w:bCs/>
          <w:kern w:val="0"/>
          <w:szCs w:val="21"/>
        </w:rPr>
        <w:t>异议处理</w:t>
      </w:r>
    </w:p>
    <w:p>
      <w:pPr>
        <w:pStyle w:val="4"/>
        <w:snapToGrid w:val="0"/>
        <w:spacing w:line="440" w:lineRule="exact"/>
        <w:rPr>
          <w:rFonts w:hint="eastAsia" w:ascii="黑体" w:hAnsi="黑体" w:eastAsia="黑体"/>
          <w:b/>
          <w:color w:val="000000"/>
          <w:szCs w:val="21"/>
        </w:rPr>
      </w:pPr>
      <w:r>
        <w:rPr>
          <w:rFonts w:hint="eastAsia" w:ascii="黑体" w:hAnsi="黑体" w:eastAsia="黑体"/>
          <w:b/>
          <w:color w:val="000000"/>
          <w:szCs w:val="21"/>
          <w:lang w:val="en-US" w:eastAsia="zh-CN"/>
        </w:rPr>
        <w:t>8</w:t>
      </w:r>
      <w:r>
        <w:rPr>
          <w:rFonts w:hint="eastAsia" w:ascii="黑体" w:hAnsi="黑体" w:eastAsia="黑体"/>
          <w:b/>
          <w:color w:val="000000"/>
          <w:szCs w:val="21"/>
        </w:rPr>
        <w:t>.1复查</w:t>
      </w:r>
    </w:p>
    <w:p>
      <w:pPr>
        <w:pStyle w:val="4"/>
        <w:snapToGrid w:val="0"/>
        <w:spacing w:line="440" w:lineRule="exact"/>
        <w:ind w:firstLine="420" w:firstLineChars="200"/>
        <w:rPr>
          <w:rFonts w:hint="eastAsia" w:hAnsi="宋体"/>
          <w:color w:val="000000"/>
          <w:szCs w:val="21"/>
        </w:rPr>
      </w:pPr>
      <w:r>
        <w:rPr>
          <w:rFonts w:hint="eastAsia" w:hAnsi="宋体"/>
          <w:color w:val="000000"/>
          <w:szCs w:val="21"/>
        </w:rPr>
        <w:t>被抽样生产者、销售者对抽样过程、样品真实性等有异议的，收到异议处理申请的昆明市市场监督管理局组织异议处理，并将处理结论书面告知申请人。</w:t>
      </w:r>
    </w:p>
    <w:p>
      <w:pPr>
        <w:pStyle w:val="4"/>
        <w:snapToGrid w:val="0"/>
        <w:spacing w:line="440" w:lineRule="exact"/>
        <w:rPr>
          <w:rFonts w:hint="eastAsia" w:hAnsi="宋体"/>
          <w:color w:val="000000"/>
          <w:szCs w:val="21"/>
        </w:rPr>
      </w:pPr>
      <w:r>
        <w:rPr>
          <w:rFonts w:hint="eastAsia" w:ascii="黑体" w:hAnsi="黑体" w:eastAsia="黑体"/>
          <w:b/>
          <w:color w:val="000000"/>
          <w:szCs w:val="21"/>
          <w:lang w:val="en-US" w:eastAsia="zh-CN"/>
        </w:rPr>
        <w:t>8</w:t>
      </w:r>
      <w:r>
        <w:rPr>
          <w:rFonts w:hint="eastAsia" w:ascii="黑体" w:hAnsi="黑体" w:eastAsia="黑体"/>
          <w:b/>
          <w:color w:val="000000"/>
          <w:szCs w:val="21"/>
        </w:rPr>
        <w:t>.2复检</w:t>
      </w:r>
    </w:p>
    <w:p>
      <w:pPr>
        <w:pStyle w:val="4"/>
        <w:snapToGrid w:val="0"/>
        <w:spacing w:line="440" w:lineRule="exact"/>
        <w:rPr>
          <w:rFonts w:hAnsi="宋体"/>
          <w:color w:val="000000"/>
          <w:szCs w:val="21"/>
        </w:rPr>
      </w:pPr>
      <w:r>
        <w:rPr>
          <w:rFonts w:hint="eastAsia" w:hAnsi="宋体"/>
          <w:color w:val="000000"/>
          <w:szCs w:val="21"/>
          <w:lang w:val="en-US" w:eastAsia="zh-CN"/>
        </w:rPr>
        <w:t>8</w:t>
      </w:r>
      <w:r>
        <w:rPr>
          <w:rFonts w:hint="eastAsia" w:hAnsi="宋体"/>
          <w:color w:val="000000"/>
          <w:szCs w:val="21"/>
        </w:rPr>
        <w:t>.2.1被抽样生产者、销售者对检验结论有异议的，应当自收到检验结论书面告知之日起十五日内向昆明市市场监督管理局提出书面异议处理申请，并提交相关材料。</w:t>
      </w:r>
    </w:p>
    <w:p>
      <w:pPr>
        <w:pStyle w:val="4"/>
        <w:snapToGrid w:val="0"/>
        <w:spacing w:line="440" w:lineRule="exact"/>
        <w:rPr>
          <w:rFonts w:hint="eastAsia" w:hAnsi="宋体"/>
          <w:szCs w:val="21"/>
        </w:rPr>
      </w:pPr>
      <w:r>
        <w:rPr>
          <w:rFonts w:hint="eastAsia" w:hAnsi="宋体"/>
          <w:color w:val="000000"/>
          <w:szCs w:val="21"/>
          <w:lang w:val="en-US" w:eastAsia="zh-CN"/>
        </w:rPr>
        <w:t>8</w:t>
      </w:r>
      <w:r>
        <w:rPr>
          <w:rFonts w:hint="eastAsia" w:hAnsi="宋体"/>
          <w:color w:val="000000"/>
          <w:szCs w:val="21"/>
        </w:rPr>
        <w:t>.2.2</w:t>
      </w:r>
      <w:r>
        <w:rPr>
          <w:rFonts w:hint="eastAsia" w:hAnsi="宋体"/>
          <w:szCs w:val="21"/>
        </w:rPr>
        <w:t>被抽样生产者、销售者对检验结论有异议，提出书面复检申请并阐明理由的，收到异议处理申请经昆明市市场监督管理局组织研究。对需要复检并具备检验条件的，组织复检。</w:t>
      </w:r>
    </w:p>
    <w:p>
      <w:pPr>
        <w:pStyle w:val="4"/>
        <w:snapToGrid w:val="0"/>
        <w:spacing w:line="440" w:lineRule="exact"/>
        <w:rPr>
          <w:rFonts w:hint="eastAsia" w:hAnsi="宋体"/>
          <w:szCs w:val="21"/>
        </w:rPr>
      </w:pPr>
      <w:r>
        <w:rPr>
          <w:rFonts w:hint="eastAsia" w:hAnsi="宋体"/>
          <w:szCs w:val="21"/>
          <w:lang w:val="en-US" w:eastAsia="zh-CN"/>
        </w:rPr>
        <w:t>8</w:t>
      </w:r>
      <w:r>
        <w:rPr>
          <w:rFonts w:hint="eastAsia" w:hAnsi="宋体"/>
          <w:szCs w:val="21"/>
        </w:rPr>
        <w:t>.2.3申请人应当自收到市场监督管理部门复检通知之日起七日内办理复检手续。逾期未办理的，视为放弃复检。</w:t>
      </w:r>
    </w:p>
    <w:p>
      <w:pPr>
        <w:pStyle w:val="4"/>
        <w:snapToGrid w:val="0"/>
        <w:spacing w:line="440" w:lineRule="exact"/>
        <w:rPr>
          <w:rFonts w:hint="eastAsia" w:hAnsi="宋体"/>
          <w:color w:val="000000"/>
          <w:szCs w:val="21"/>
        </w:rPr>
      </w:pPr>
      <w:r>
        <w:rPr>
          <w:rFonts w:hint="eastAsia" w:hAnsi="宋体"/>
          <w:color w:val="000000"/>
          <w:szCs w:val="21"/>
          <w:lang w:val="en-US" w:eastAsia="zh-CN"/>
        </w:rPr>
        <w:t>8</w:t>
      </w:r>
      <w:r>
        <w:rPr>
          <w:rFonts w:hint="eastAsia" w:hAnsi="宋体"/>
          <w:color w:val="000000"/>
          <w:szCs w:val="21"/>
        </w:rPr>
        <w:t>.2.4昆明市市场监督管理局自申请人办理复检手续之日起十日内确定具备相应资质的检验机构进行复检。</w:t>
      </w:r>
    </w:p>
    <w:p>
      <w:pPr>
        <w:pStyle w:val="4"/>
        <w:snapToGrid w:val="0"/>
        <w:spacing w:line="440" w:lineRule="exact"/>
        <w:rPr>
          <w:rFonts w:hint="eastAsia" w:hAnsi="宋体"/>
          <w:szCs w:val="21"/>
        </w:rPr>
      </w:pPr>
      <w:r>
        <w:rPr>
          <w:rFonts w:hint="eastAsia" w:hAnsi="宋体"/>
          <w:szCs w:val="21"/>
          <w:lang w:val="en-US" w:eastAsia="zh-CN"/>
        </w:rPr>
        <w:t>8</w:t>
      </w:r>
      <w:r>
        <w:rPr>
          <w:rFonts w:hint="eastAsia" w:hAnsi="宋体"/>
          <w:szCs w:val="21"/>
        </w:rPr>
        <w:t>.2.5被抽样生产者、销售者隐匿、转移、变卖、损毁备用样品的，应当终止复检，并以初检结论为最终结论。</w:t>
      </w:r>
    </w:p>
    <w:p>
      <w:pPr>
        <w:pStyle w:val="4"/>
        <w:snapToGrid w:val="0"/>
        <w:spacing w:line="440" w:lineRule="exact"/>
        <w:rPr>
          <w:rFonts w:hint="eastAsia" w:hAnsi="宋体"/>
          <w:szCs w:val="21"/>
        </w:rPr>
      </w:pPr>
      <w:r>
        <w:rPr>
          <w:rFonts w:hint="eastAsia" w:hAnsi="宋体"/>
          <w:szCs w:val="21"/>
          <w:lang w:val="en-US" w:eastAsia="zh-CN"/>
        </w:rPr>
        <w:t>8</w:t>
      </w:r>
      <w:r>
        <w:rPr>
          <w:rFonts w:hint="eastAsia" w:hAnsi="宋体"/>
          <w:szCs w:val="21"/>
        </w:rPr>
        <w:t>.2.6复检机构应当在规定时间内按照</w:t>
      </w:r>
      <w:r>
        <w:rPr>
          <w:rFonts w:hint="eastAsia" w:hAnsi="宋体"/>
          <w:color w:val="000000"/>
          <w:szCs w:val="21"/>
        </w:rPr>
        <w:t>监督抽查</w:t>
      </w:r>
      <w:r>
        <w:rPr>
          <w:rFonts w:hint="eastAsia" w:hAnsi="宋体"/>
          <w:szCs w:val="21"/>
        </w:rPr>
        <w:t>实施细则所规定的检验方法、判定规则等对与异议相关的检验项目进行复检，并将复检结论及时报送昆明市市场监督管理局，由昆明市市场监督管理局书面告知复检申请人。复检结论为最终结论。</w:t>
      </w:r>
    </w:p>
    <w:p>
      <w:pPr>
        <w:pStyle w:val="4"/>
        <w:snapToGrid w:val="0"/>
        <w:spacing w:line="440" w:lineRule="exact"/>
        <w:rPr>
          <w:rFonts w:hint="eastAsia" w:hAnsi="宋体"/>
          <w:szCs w:val="21"/>
        </w:rPr>
      </w:pPr>
      <w:r>
        <w:rPr>
          <w:rFonts w:hint="eastAsia" w:hAnsi="宋体"/>
          <w:szCs w:val="21"/>
          <w:lang w:val="en-US" w:eastAsia="zh-CN"/>
        </w:rPr>
        <w:t>8</w:t>
      </w:r>
      <w:r>
        <w:rPr>
          <w:rFonts w:hint="eastAsia" w:hAnsi="宋体"/>
          <w:szCs w:val="21"/>
        </w:rPr>
        <w:t>.2.7</w:t>
      </w:r>
      <w:r>
        <w:rPr>
          <w:rFonts w:hint="eastAsia"/>
          <w:color w:val="000000" w:themeColor="text1"/>
          <w14:textFill>
            <w14:solidFill>
              <w14:schemeClr w14:val="tx1"/>
            </w14:solidFill>
          </w14:textFill>
        </w:rPr>
        <w:t>复检费用由申请人向复检机构先行支付。复检结论与初检结论一致的，复检费用由申请人承担；与初检结论不一致的，复检费用由</w:t>
      </w:r>
      <w:r>
        <w:rPr>
          <w:rFonts w:hint="eastAsia"/>
          <w:color w:val="000000" w:themeColor="text1"/>
          <w:lang w:eastAsia="zh-CN"/>
          <w14:textFill>
            <w14:solidFill>
              <w14:schemeClr w14:val="tx1"/>
            </w14:solidFill>
          </w14:textFill>
        </w:rPr>
        <w:t>承担本次抽样检验的单位</w:t>
      </w:r>
      <w:r>
        <w:rPr>
          <w:rFonts w:hint="eastAsia"/>
          <w:color w:val="000000" w:themeColor="text1"/>
          <w14:textFill>
            <w14:solidFill>
              <w14:schemeClr w14:val="tx1"/>
            </w14:solidFill>
          </w14:textFill>
        </w:rPr>
        <w:t>承担。</w:t>
      </w:r>
    </w:p>
    <w:p>
      <w:pPr>
        <w:spacing w:line="440" w:lineRule="exact"/>
        <w:rPr>
          <w:rFonts w:ascii="宋体" w:hAnsi="宋体"/>
          <w:b/>
          <w:color w:val="000000"/>
          <w:szCs w:val="21"/>
        </w:rPr>
      </w:pPr>
      <w:r>
        <w:rPr>
          <w:rFonts w:hint="eastAsia" w:ascii="宋体" w:hAnsi="宋体"/>
          <w:b/>
          <w:color w:val="000000"/>
          <w:szCs w:val="21"/>
          <w:lang w:val="en-US" w:eastAsia="zh-CN"/>
        </w:rPr>
        <w:t>9</w:t>
      </w:r>
      <w:r>
        <w:rPr>
          <w:rFonts w:hint="eastAsia" w:ascii="宋体" w:hAnsi="宋体"/>
          <w:b/>
          <w:color w:val="000000"/>
          <w:szCs w:val="21"/>
        </w:rPr>
        <w:t xml:space="preserve"> 附则</w:t>
      </w:r>
    </w:p>
    <w:p>
      <w:pPr>
        <w:snapToGrid w:val="0"/>
        <w:spacing w:line="440" w:lineRule="exact"/>
        <w:rPr>
          <w:rFonts w:hint="eastAsia" w:ascii="宋体" w:hAnsi="宋体"/>
          <w:szCs w:val="21"/>
        </w:rPr>
      </w:pPr>
      <w:r>
        <w:rPr>
          <w:rFonts w:hint="eastAsia" w:ascii="宋体" w:hAnsi="宋体"/>
          <w:szCs w:val="21"/>
          <w:lang w:val="en-US" w:eastAsia="zh-CN"/>
        </w:rPr>
        <w:t>9</w:t>
      </w:r>
      <w:r>
        <w:rPr>
          <w:rFonts w:hint="eastAsia" w:ascii="宋体" w:hAnsi="宋体"/>
          <w:szCs w:val="21"/>
        </w:rPr>
        <w:t>.1 本细则由昆明市市场监督管理局制定并负责解释，</w:t>
      </w:r>
    </w:p>
    <w:p>
      <w:pPr>
        <w:snapToGrid w:val="0"/>
        <w:spacing w:line="440" w:lineRule="exact"/>
        <w:rPr>
          <w:rFonts w:ascii="宋体" w:hAnsi="宋体"/>
          <w:szCs w:val="21"/>
          <w:highlight w:val="none"/>
        </w:rPr>
      </w:pPr>
      <w:r>
        <w:rPr>
          <w:rFonts w:hint="eastAsia" w:ascii="宋体" w:hAnsi="宋体"/>
          <w:szCs w:val="21"/>
          <w:highlight w:val="none"/>
          <w:lang w:val="en-US" w:eastAsia="zh-CN"/>
        </w:rPr>
        <w:t>9</w:t>
      </w:r>
      <w:r>
        <w:rPr>
          <w:rFonts w:hint="eastAsia" w:ascii="宋体" w:hAnsi="宋体"/>
          <w:szCs w:val="21"/>
          <w:highlight w:val="none"/>
        </w:rPr>
        <w:t>.2 本细则自</w:t>
      </w:r>
      <w:r>
        <w:rPr>
          <w:rFonts w:hint="eastAsia" w:ascii="宋体" w:hAnsi="宋体"/>
          <w:szCs w:val="21"/>
          <w:highlight w:val="none"/>
          <w:lang w:val="en-US" w:eastAsia="zh-CN"/>
        </w:rPr>
        <w:t>2020</w:t>
      </w:r>
      <w:r>
        <w:rPr>
          <w:rFonts w:hint="eastAsia" w:ascii="宋体" w:hAnsi="宋体"/>
          <w:szCs w:val="21"/>
          <w:highlight w:val="none"/>
        </w:rPr>
        <w:t>年</w:t>
      </w:r>
      <w:r>
        <w:rPr>
          <w:rFonts w:hint="eastAsia" w:ascii="宋体" w:hAnsi="宋体"/>
          <w:szCs w:val="21"/>
          <w:highlight w:val="none"/>
          <w:lang w:val="en-US" w:eastAsia="zh-CN"/>
        </w:rPr>
        <w:t>6</w:t>
      </w:r>
      <w:r>
        <w:rPr>
          <w:rFonts w:hint="eastAsia" w:ascii="宋体" w:hAnsi="宋体"/>
          <w:szCs w:val="21"/>
          <w:highlight w:val="none"/>
        </w:rPr>
        <w:t>月</w:t>
      </w:r>
      <w:r>
        <w:rPr>
          <w:rFonts w:hint="eastAsia" w:ascii="宋体" w:hAnsi="宋体"/>
          <w:szCs w:val="21"/>
          <w:highlight w:val="none"/>
          <w:lang w:val="en-US" w:eastAsia="zh-CN"/>
        </w:rPr>
        <w:t>12</w:t>
      </w:r>
      <w:r>
        <w:rPr>
          <w:rFonts w:hint="eastAsia" w:ascii="宋体" w:hAnsi="宋体"/>
          <w:szCs w:val="21"/>
          <w:highlight w:val="none"/>
        </w:rPr>
        <w:t>日发布实施。</w:t>
      </w:r>
    </w:p>
    <w:p>
      <w:pPr>
        <w:pStyle w:val="3"/>
        <w:spacing w:before="9"/>
        <w:ind w:left="0"/>
        <w:rPr>
          <w:sz w:val="21"/>
          <w:szCs w:val="21"/>
        </w:rPr>
      </w:pPr>
    </w:p>
    <w:p>
      <w:pPr>
        <w:jc w:val="center"/>
        <w:rPr>
          <w:rFonts w:ascii="黑体" w:hAnsi="宋体" w:eastAsia="黑体" w:cs="Sim Sun"/>
          <w:sz w:val="32"/>
          <w:szCs w:val="32"/>
        </w:rPr>
      </w:pPr>
    </w:p>
    <w:p>
      <w:pPr>
        <w:jc w:val="center"/>
        <w:rPr>
          <w:rFonts w:hint="eastAsia" w:ascii="黑体" w:hAnsi="宋体" w:eastAsia="黑体"/>
          <w:color w:val="000000"/>
          <w:sz w:val="32"/>
          <w:szCs w:val="32"/>
        </w:rPr>
      </w:pPr>
    </w:p>
    <w:p>
      <w:pPr>
        <w:spacing w:after="0"/>
        <w:sectPr>
          <w:footerReference r:id="rId9" w:type="default"/>
          <w:pgSz w:w="11910" w:h="16840"/>
          <w:pgMar w:top="1580" w:right="1420" w:bottom="1180" w:left="1540" w:header="0" w:footer="993" w:gutter="0"/>
        </w:sectPr>
      </w:pPr>
    </w:p>
    <w:p>
      <w:pPr>
        <w:jc w:val="center"/>
        <w:rPr>
          <w:rFonts w:ascii="黑体" w:hAnsi="宋体" w:eastAsia="黑体"/>
          <w:color w:val="000000"/>
          <w:spacing w:val="20"/>
          <w:w w:val="105"/>
          <w:sz w:val="48"/>
          <w:szCs w:val="48"/>
        </w:rPr>
      </w:pPr>
      <w:r>
        <w:rPr>
          <w:rFonts w:hint="eastAsia" w:ascii="黑体" w:hAnsi="宋体" w:eastAsia="黑体"/>
          <w:color w:val="000000"/>
          <w:spacing w:val="20"/>
          <w:w w:val="105"/>
          <w:sz w:val="48"/>
          <w:szCs w:val="48"/>
          <w:lang w:eastAsia="zh-CN"/>
        </w:rPr>
        <w:t>衣料用液体洗涤剂</w:t>
      </w:r>
      <w:r>
        <w:rPr>
          <w:rFonts w:hint="eastAsia" w:ascii="黑体" w:hAnsi="宋体" w:eastAsia="黑体"/>
          <w:color w:val="000000"/>
          <w:spacing w:val="20"/>
          <w:w w:val="105"/>
          <w:sz w:val="48"/>
          <w:szCs w:val="48"/>
        </w:rPr>
        <w:t>产品质量监督抽查实施细则</w:t>
      </w:r>
    </w:p>
    <w:p>
      <w:pPr>
        <w:wordWrap w:val="0"/>
        <w:spacing w:before="240"/>
        <w:ind w:right="420"/>
        <w:jc w:val="right"/>
        <w:rPr>
          <w:rFonts w:ascii="黑体" w:hAnsi="宋体" w:eastAsia="黑体"/>
          <w:color w:val="000000"/>
          <w:sz w:val="28"/>
          <w:szCs w:val="28"/>
          <w:highlight w:val="none"/>
        </w:rPr>
      </w:pPr>
      <w:r>
        <w:rPr>
          <w:rFonts w:ascii="宋体" w:hAnsi="宋体"/>
          <w:color w:val="000000"/>
          <w:szCs w:val="21"/>
          <w:highlight w:val="none"/>
        </w:rPr>
        <mc:AlternateContent>
          <mc:Choice Requires="wps">
            <w:drawing>
              <wp:anchor distT="0" distB="0" distL="114300" distR="114300" simplePos="0" relativeHeight="251671552" behindDoc="0" locked="0" layoutInCell="1" allowOverlap="1">
                <wp:simplePos x="0" y="0"/>
                <wp:positionH relativeFrom="column">
                  <wp:posOffset>342900</wp:posOffset>
                </wp:positionH>
                <wp:positionV relativeFrom="paragraph">
                  <wp:posOffset>494665</wp:posOffset>
                </wp:positionV>
                <wp:extent cx="5257800" cy="635"/>
                <wp:effectExtent l="0" t="0" r="0" b="0"/>
                <wp:wrapNone/>
                <wp:docPr id="6" name="直线 8"/>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8" o:spid="_x0000_s1026" o:spt="20" style="position:absolute;left:0pt;margin-left:27pt;margin-top:38.95pt;height:0.05pt;width:414pt;z-index:251671552;mso-width-relative:page;mso-height-relative:page;" filled="f" stroked="t" coordsize="21600,21600" o:gfxdata="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ihloUtYAAAAIAQAADwAAAAAAAAABACAAAAAiAAAAZHJz&#10;L2Rvd25yZXYueG1sUEsBAhQAFAAAAAgAh07iQHlas4bNAQAAjwMAAA4AAAAAAAAAAQAgAAAAJQEA&#10;AGRycy9lMm9Eb2MueG1sUEsFBgAAAAAGAAYAWQEAAGQFAAAAAA==&#10;">
                <v:fill on="f" focussize="0,0"/>
                <v:stroke color="#000000" joinstyle="round"/>
                <v:imagedata o:title=""/>
                <o:lock v:ext="edit" aspectratio="f"/>
              </v:line>
            </w:pict>
          </mc:Fallback>
        </mc:AlternateContent>
      </w:r>
      <w:r>
        <w:rPr>
          <w:rFonts w:hint="eastAsia" w:ascii="黑体" w:hAnsi="宋体" w:eastAsia="黑体"/>
          <w:color w:val="000000"/>
          <w:sz w:val="28"/>
          <w:szCs w:val="28"/>
          <w:highlight w:val="none"/>
        </w:rPr>
        <w:t xml:space="preserve">KMCCXZ </w:t>
      </w:r>
      <w:r>
        <w:rPr>
          <w:rFonts w:hint="eastAsia" w:ascii="黑体" w:hAnsi="宋体" w:eastAsia="黑体"/>
          <w:color w:val="000000"/>
          <w:sz w:val="28"/>
          <w:szCs w:val="28"/>
          <w:highlight w:val="none"/>
          <w:lang w:val="en-US" w:eastAsia="zh-CN"/>
        </w:rPr>
        <w:t>6.2</w:t>
      </w:r>
      <w:r>
        <w:rPr>
          <w:rFonts w:hint="eastAsia" w:ascii="黑体" w:hAnsi="宋体" w:eastAsia="黑体"/>
          <w:color w:val="000000"/>
          <w:sz w:val="28"/>
          <w:szCs w:val="28"/>
          <w:highlight w:val="none"/>
        </w:rPr>
        <w:t>-2020</w:t>
      </w:r>
    </w:p>
    <w:p>
      <w:pPr>
        <w:rPr>
          <w:rFonts w:ascii="宋体" w:hAnsi="宋体"/>
          <w:color w:val="000000"/>
          <w:szCs w:val="21"/>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r>
        <w:rPr>
          <w:rFonts w:hint="eastAsia" w:ascii="黑体" w:hAnsi="宋体" w:eastAsia="黑体"/>
          <w:color w:val="000000"/>
          <w:sz w:val="52"/>
          <w:szCs w:val="52"/>
          <w:lang w:eastAsia="zh-CN"/>
        </w:rPr>
        <w:t>衣料用液体洗涤剂</w:t>
      </w: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jc w:val="center"/>
        <w:rPr>
          <w:color w:val="000000"/>
        </w:rPr>
      </w:pPr>
    </w:p>
    <w:p>
      <w:pPr>
        <w:ind w:firstLine="420" w:firstLineChars="150"/>
        <w:rPr>
          <w:rFonts w:ascii="黑体" w:hAnsi="宋体" w:eastAsia="黑体"/>
          <w:color w:val="000000"/>
          <w:sz w:val="28"/>
          <w:szCs w:val="28"/>
          <w:u w:val="thick"/>
        </w:rPr>
      </w:pPr>
      <w:r>
        <w:rPr>
          <w:rFonts w:hint="eastAsia" w:ascii="黑体" w:hAnsi="宋体" w:eastAsia="黑体"/>
          <w:color w:val="000000"/>
          <w:sz w:val="28"/>
          <w:szCs w:val="28"/>
          <w:u w:val="thick"/>
        </w:rPr>
        <w:t xml:space="preserve">  2020—</w:t>
      </w:r>
      <w:r>
        <w:rPr>
          <w:rFonts w:hint="eastAsia" w:ascii="黑体" w:hAnsi="宋体" w:eastAsia="黑体"/>
          <w:color w:val="000000"/>
          <w:sz w:val="28"/>
          <w:szCs w:val="28"/>
          <w:u w:val="thick"/>
          <w:lang w:val="en-US" w:eastAsia="zh-CN"/>
        </w:rPr>
        <w:t>6</w:t>
      </w:r>
      <w:r>
        <w:rPr>
          <w:rFonts w:hint="eastAsia" w:ascii="黑体" w:hAnsi="宋体" w:eastAsia="黑体"/>
          <w:color w:val="000000"/>
          <w:sz w:val="28"/>
          <w:szCs w:val="28"/>
          <w:u w:val="thick"/>
        </w:rPr>
        <w:t>—</w:t>
      </w:r>
      <w:r>
        <w:rPr>
          <w:rFonts w:hint="eastAsia" w:ascii="黑体" w:hAnsi="宋体" w:eastAsia="黑体"/>
          <w:color w:val="000000"/>
          <w:sz w:val="28"/>
          <w:szCs w:val="28"/>
          <w:u w:val="thick"/>
          <w:lang w:val="en-US" w:eastAsia="zh-CN"/>
        </w:rPr>
        <w:t>12</w:t>
      </w:r>
      <w:r>
        <w:rPr>
          <w:rFonts w:hint="eastAsia" w:ascii="黑体" w:hAnsi="宋体" w:eastAsia="黑体"/>
          <w:color w:val="000000"/>
          <w:sz w:val="28"/>
          <w:szCs w:val="28"/>
          <w:u w:val="thick"/>
        </w:rPr>
        <w:t>发布                         2020—</w:t>
      </w:r>
      <w:r>
        <w:rPr>
          <w:rFonts w:hint="eastAsia" w:ascii="黑体" w:hAnsi="宋体" w:eastAsia="黑体"/>
          <w:color w:val="000000"/>
          <w:sz w:val="28"/>
          <w:szCs w:val="28"/>
          <w:u w:val="thick"/>
          <w:lang w:val="en-US" w:eastAsia="zh-CN"/>
        </w:rPr>
        <w:t>6</w:t>
      </w:r>
      <w:r>
        <w:rPr>
          <w:rFonts w:hint="eastAsia" w:ascii="黑体" w:hAnsi="宋体" w:eastAsia="黑体"/>
          <w:color w:val="000000"/>
          <w:sz w:val="28"/>
          <w:szCs w:val="28"/>
          <w:u w:val="thick"/>
        </w:rPr>
        <w:t>—</w:t>
      </w:r>
      <w:r>
        <w:rPr>
          <w:rFonts w:hint="eastAsia" w:ascii="黑体" w:hAnsi="宋体" w:eastAsia="黑体"/>
          <w:color w:val="000000"/>
          <w:sz w:val="28"/>
          <w:szCs w:val="28"/>
          <w:u w:val="thick"/>
          <w:lang w:val="en-US" w:eastAsia="zh-CN"/>
        </w:rPr>
        <w:t>12</w:t>
      </w:r>
      <w:r>
        <w:rPr>
          <w:rFonts w:hint="eastAsia" w:ascii="黑体" w:hAnsi="宋体" w:eastAsia="黑体"/>
          <w:color w:val="000000"/>
          <w:sz w:val="28"/>
          <w:szCs w:val="28"/>
          <w:u w:val="thick"/>
        </w:rPr>
        <w:t xml:space="preserve">实施  </w:t>
      </w:r>
    </w:p>
    <w:p>
      <w:pPr>
        <w:ind w:firstLine="3724" w:firstLineChars="700"/>
        <w:rPr>
          <w:rFonts w:ascii="黑体" w:eastAsia="黑体"/>
          <w:color w:val="000000"/>
          <w:w w:val="148"/>
          <w:sz w:val="36"/>
          <w:szCs w:val="36"/>
        </w:rPr>
      </w:pPr>
    </w:p>
    <w:p>
      <w:pPr>
        <w:ind w:firstLine="1778" w:firstLineChars="847"/>
        <w:rPr>
          <w:rFonts w:ascii="黑体" w:hAnsi="黑体" w:eastAsia="黑体"/>
          <w:color w:val="000000"/>
          <w:u w:val="single"/>
        </w:rPr>
        <w:sectPr>
          <w:headerReference r:id="rId10" w:type="default"/>
          <w:footerReference r:id="rId11" w:type="default"/>
          <w:footerReference r:id="rId12" w:type="even"/>
          <w:pgSz w:w="11906" w:h="16838"/>
          <w:pgMar w:top="1440" w:right="1286" w:bottom="1440" w:left="1440" w:header="851" w:footer="1220" w:gutter="0"/>
          <w:cols w:space="720" w:num="1"/>
          <w:docGrid w:type="lines" w:linePitch="312" w:charSpace="0"/>
        </w:sectPr>
      </w:pPr>
      <w:r>
        <w:rPr>
          <w:rFonts w:ascii="黑体" w:hAnsi="黑体" w:eastAsia="黑体"/>
          <w:color w:val="000000"/>
          <w:u w:val="single"/>
        </w:rPr>
        <mc:AlternateContent>
          <mc:Choice Requires="wps">
            <w:drawing>
              <wp:anchor distT="0" distB="0" distL="114300" distR="114300" simplePos="0" relativeHeight="251670528" behindDoc="0" locked="0" layoutInCell="1" allowOverlap="1">
                <wp:simplePos x="0" y="0"/>
                <wp:positionH relativeFrom="column">
                  <wp:posOffset>0</wp:posOffset>
                </wp:positionH>
                <wp:positionV relativeFrom="paragraph">
                  <wp:posOffset>0</wp:posOffset>
                </wp:positionV>
                <wp:extent cx="5257800" cy="0"/>
                <wp:effectExtent l="0" t="0" r="0" b="0"/>
                <wp:wrapNone/>
                <wp:docPr id="7" name="直线 7"/>
                <wp:cNvGraphicFramePr/>
                <a:graphic xmlns:a="http://schemas.openxmlformats.org/drawingml/2006/main">
                  <a:graphicData uri="http://schemas.microsoft.com/office/word/2010/wordprocessingShape">
                    <wps:wsp>
                      <wps:cNvCnPr/>
                      <wps:spPr>
                        <a:xfrm>
                          <a:off x="0" y="0"/>
                          <a:ext cx="5257800" cy="0"/>
                        </a:xfrm>
                        <a:prstGeom prst="line">
                          <a:avLst/>
                        </a:prstGeom>
                        <a:ln w="12700" cap="flat" cmpd="sng">
                          <a:solidFill>
                            <a:srgbClr val="FFFFFF"/>
                          </a:solidFill>
                          <a:prstDash val="solid"/>
                          <a:headEnd type="none" w="med" len="med"/>
                          <a:tailEnd type="none" w="med" len="med"/>
                        </a:ln>
                      </wps:spPr>
                      <wps:bodyPr upright="1"/>
                    </wps:wsp>
                  </a:graphicData>
                </a:graphic>
              </wp:anchor>
            </w:drawing>
          </mc:Choice>
          <mc:Fallback>
            <w:pict>
              <v:line id="直线 7" o:spid="_x0000_s1026" o:spt="20" style="position:absolute;left:0pt;margin-left:0pt;margin-top:0pt;height:0pt;width:414pt;z-index:251670528;mso-width-relative:page;mso-height-relative:page;" filled="f" stroked="t" coordsize="21600,21600" o:gfxdata="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6JDV9AAAAACAQAADwAAAAAAAAABACAAAAAiAAAAZHJzL2Rvd25y&#10;ZXYueG1sUEsBAhQAFAAAAAgAh07iQIs92VjNAQAAjgMAAA4AAAAAAAAAAQAgAAAAHwEAAGRycy9l&#10;Mm9Eb2MueG1sUEsFBgAAAAAGAAYAWQEAAF4FAAAAAA==&#10;">
                <v:fill on="f" focussize="0,0"/>
                <v:stroke weight="1pt" color="#FFFFFF" joinstyle="round"/>
                <v:imagedata o:title=""/>
                <o:lock v:ext="edit" aspectratio="f"/>
              </v:line>
            </w:pict>
          </mc:Fallback>
        </mc:AlternateContent>
      </w:r>
      <w:r>
        <w:rPr>
          <w:rFonts w:hint="eastAsia" w:ascii="黑体" w:hAnsi="黑体" w:eastAsia="黑体"/>
          <w:color w:val="000000"/>
          <w:w w:val="148"/>
          <w:sz w:val="36"/>
          <w:szCs w:val="36"/>
        </w:rPr>
        <w:t>昆明市市场监督管理</w:t>
      </w:r>
    </w:p>
    <w:p>
      <w:pPr>
        <w:spacing w:before="55"/>
        <w:ind w:right="0"/>
        <w:jc w:val="left"/>
        <w:rPr>
          <w:rFonts w:hint="eastAsia" w:ascii="黑体" w:hAnsi="黑体" w:eastAsia="黑体" w:cs="黑体"/>
          <w:sz w:val="32"/>
        </w:rPr>
      </w:pPr>
      <w:r>
        <w:rPr>
          <w:rFonts w:hint="eastAsia" w:ascii="黑体" w:hAnsi="黑体" w:eastAsia="黑体" w:cs="黑体"/>
          <w:sz w:val="32"/>
          <w:lang w:eastAsia="zh-CN"/>
        </w:rPr>
        <w:t>衣料用液体洗涤剂</w:t>
      </w:r>
      <w:r>
        <w:rPr>
          <w:rFonts w:hint="eastAsia" w:ascii="黑体" w:hAnsi="黑体" w:eastAsia="黑体" w:cs="黑体"/>
          <w:sz w:val="32"/>
        </w:rPr>
        <w:t>产品质量监督抽查实施细则</w:t>
      </w:r>
      <w:r>
        <w:rPr>
          <w:rFonts w:hint="eastAsia" w:ascii="黑体" w:hAnsi="宋体" w:eastAsia="黑体"/>
          <w:color w:val="000000"/>
          <w:sz w:val="32"/>
          <w:szCs w:val="32"/>
        </w:rPr>
        <w:t>（</w:t>
      </w:r>
      <w:r>
        <w:rPr>
          <w:rFonts w:hint="eastAsia" w:ascii="黑体" w:hAnsi="宋体" w:eastAsia="黑体" w:cs="Sim Sun"/>
          <w:sz w:val="32"/>
          <w:szCs w:val="32"/>
        </w:rPr>
        <w:t>2020</w:t>
      </w:r>
      <w:r>
        <w:rPr>
          <w:rFonts w:hint="eastAsia" w:ascii="黑体" w:hAnsi="宋体" w:eastAsia="黑体"/>
          <w:color w:val="000000"/>
          <w:sz w:val="32"/>
          <w:szCs w:val="32"/>
        </w:rPr>
        <w:t>）</w:t>
      </w:r>
    </w:p>
    <w:p>
      <w:pPr>
        <w:pStyle w:val="2"/>
        <w:numPr>
          <w:ilvl w:val="0"/>
          <w:numId w:val="0"/>
        </w:numPr>
        <w:tabs>
          <w:tab w:val="left" w:pos="421"/>
          <w:tab w:val="left" w:pos="422"/>
        </w:tabs>
        <w:spacing w:before="2" w:after="0" w:line="240" w:lineRule="auto"/>
        <w:ind w:left="103" w:leftChars="0" w:right="0" w:rightChars="0"/>
        <w:jc w:val="left"/>
        <w:rPr>
          <w:rFonts w:hint="eastAsia" w:eastAsia="宋体"/>
          <w:lang w:val="en-US" w:eastAsia="zh-CN"/>
        </w:rPr>
      </w:pPr>
    </w:p>
    <w:p>
      <w:pPr>
        <w:pStyle w:val="2"/>
        <w:numPr>
          <w:ilvl w:val="0"/>
          <w:numId w:val="0"/>
        </w:numPr>
        <w:tabs>
          <w:tab w:val="left" w:pos="421"/>
          <w:tab w:val="left" w:pos="422"/>
        </w:tabs>
        <w:spacing w:before="2" w:after="0" w:line="240" w:lineRule="auto"/>
        <w:ind w:left="103" w:leftChars="0" w:right="0" w:rightChars="0"/>
        <w:jc w:val="left"/>
      </w:pPr>
      <w:r>
        <w:rPr>
          <w:rFonts w:hint="eastAsia" w:eastAsia="宋体"/>
          <w:lang w:val="en-US" w:eastAsia="zh-CN"/>
        </w:rPr>
        <w:t xml:space="preserve">1  </w:t>
      </w:r>
      <w:r>
        <w:t>范围</w:t>
      </w:r>
    </w:p>
    <w:p>
      <w:pPr>
        <w:pStyle w:val="3"/>
        <w:spacing w:before="122" w:line="393" w:lineRule="auto"/>
        <w:ind w:right="215" w:firstLine="419"/>
        <w:jc w:val="both"/>
      </w:pPr>
      <w:r>
        <w:t>本细则适用于昆明市市场监督管理局</w:t>
      </w:r>
      <w:r>
        <w:rPr>
          <w:rFonts w:hint="eastAsia" w:ascii="宋体" w:hAnsi="宋体"/>
        </w:rPr>
        <w:t>组织的</w:t>
      </w:r>
      <w:r>
        <w:rPr>
          <w:rFonts w:hint="eastAsia"/>
          <w:lang w:eastAsia="zh-CN"/>
        </w:rPr>
        <w:t>衣料用液体洗涤剂</w:t>
      </w:r>
      <w:r>
        <w:rPr>
          <w:rFonts w:hint="eastAsia" w:ascii="宋体" w:hAnsi="宋体" w:cs="Sim Sun"/>
          <w:szCs w:val="21"/>
        </w:rPr>
        <w:t>产品</w:t>
      </w:r>
      <w:r>
        <w:rPr>
          <w:rFonts w:hint="eastAsia" w:ascii="宋体" w:hAnsi="宋体"/>
        </w:rPr>
        <w:t>质量监督抽查。</w:t>
      </w:r>
      <w:r>
        <w:t>监督抽查产品范围包括</w:t>
      </w:r>
      <w:r>
        <w:rPr>
          <w:rFonts w:hint="eastAsia"/>
          <w:lang w:eastAsia="zh-CN"/>
        </w:rPr>
        <w:t>各种</w:t>
      </w:r>
      <w:r>
        <w:t>表面活性剂</w:t>
      </w:r>
      <w:r>
        <w:rPr>
          <w:rFonts w:hint="eastAsia"/>
          <w:lang w:eastAsia="zh-CN"/>
        </w:rPr>
        <w:t>和助</w:t>
      </w:r>
      <w:r>
        <w:t>剂配</w:t>
      </w:r>
      <w:r>
        <w:rPr>
          <w:rFonts w:hint="eastAsia"/>
          <w:lang w:eastAsia="zh-CN"/>
        </w:rPr>
        <w:t>制而成，用于织物清洁去污的衣料用液体洗涤剂</w:t>
      </w:r>
      <w:r>
        <w:rPr>
          <w:rFonts w:hint="eastAsia" w:ascii="宋体" w:hAnsi="宋体" w:cs="Sim Sun"/>
          <w:szCs w:val="21"/>
        </w:rPr>
        <w:t>产品</w:t>
      </w:r>
      <w:r>
        <w:t>。本细则内容包括产品分类、术语和定义、检验依据、抽样、检验要求、判定原则、异议处理及附则。</w:t>
      </w:r>
    </w:p>
    <w:p>
      <w:pPr>
        <w:pStyle w:val="2"/>
        <w:numPr>
          <w:ilvl w:val="0"/>
          <w:numId w:val="0"/>
        </w:numPr>
        <w:tabs>
          <w:tab w:val="left" w:pos="421"/>
          <w:tab w:val="left" w:pos="422"/>
        </w:tabs>
        <w:spacing w:before="0" w:after="0" w:line="311" w:lineRule="exact"/>
        <w:ind w:left="103" w:leftChars="0" w:right="0" w:rightChars="0"/>
        <w:jc w:val="left"/>
      </w:pPr>
      <w:r>
        <w:rPr>
          <w:rFonts w:hint="eastAsia" w:eastAsia="宋体"/>
          <w:lang w:val="en-US" w:eastAsia="zh-CN"/>
        </w:rPr>
        <w:t xml:space="preserve">2  </w:t>
      </w:r>
      <w:r>
        <w:t>产品分类</w:t>
      </w:r>
    </w:p>
    <w:p>
      <w:pPr>
        <w:pStyle w:val="3"/>
        <w:spacing w:before="125"/>
        <w:ind w:left="0" w:leftChars="0" w:firstLine="420" w:firstLineChars="200"/>
      </w:pPr>
      <w:r>
        <w:rPr>
          <w:rFonts w:hint="eastAsia"/>
          <w:lang w:eastAsia="zh-CN"/>
        </w:rPr>
        <w:t>衣料用液体洗涤剂</w:t>
      </w:r>
      <w:r>
        <w:rPr>
          <w:rFonts w:hint="eastAsia" w:ascii="宋体" w:hAnsi="宋体" w:cs="Sim Sun"/>
          <w:szCs w:val="21"/>
        </w:rPr>
        <w:t>产品</w:t>
      </w:r>
      <w:r>
        <w:rPr>
          <w:rFonts w:hint="eastAsia" w:cs="Sim Sun"/>
          <w:szCs w:val="21"/>
          <w:lang w:eastAsia="zh-CN"/>
        </w:rPr>
        <w:t>根据其洗涤作用及洗涤对象的不同分为三类，即洗衣液、丝毛洗涤液、衣领袖口预洗剂。</w:t>
      </w:r>
    </w:p>
    <w:p>
      <w:pPr>
        <w:pStyle w:val="2"/>
        <w:numPr>
          <w:ilvl w:val="0"/>
          <w:numId w:val="0"/>
        </w:numPr>
        <w:tabs>
          <w:tab w:val="left" w:pos="421"/>
          <w:tab w:val="left" w:pos="422"/>
        </w:tabs>
        <w:spacing w:before="101" w:after="0" w:line="240" w:lineRule="auto"/>
        <w:ind w:left="103" w:leftChars="0" w:right="0" w:rightChars="0"/>
        <w:jc w:val="left"/>
      </w:pPr>
      <w:r>
        <w:rPr>
          <w:rFonts w:hint="eastAsia" w:eastAsia="宋体"/>
          <w:lang w:val="en-US" w:eastAsia="zh-CN"/>
        </w:rPr>
        <w:t xml:space="preserve">3  </w:t>
      </w:r>
      <w:r>
        <w:t>术语和定义</w:t>
      </w:r>
    </w:p>
    <w:p>
      <w:pPr>
        <w:pStyle w:val="3"/>
        <w:spacing w:before="123"/>
        <w:ind w:left="524"/>
        <w:rPr>
          <w:rFonts w:hint="eastAsia" w:eastAsia="宋体"/>
          <w:lang w:eastAsia="zh-CN"/>
        </w:rPr>
      </w:pPr>
      <w:r>
        <w:t>本细则中未列出的术语和定义同相关引用标准</w:t>
      </w:r>
      <w:r>
        <w:rPr>
          <w:rFonts w:hint="eastAsia"/>
          <w:lang w:eastAsia="zh-CN"/>
        </w:rPr>
        <w:t>。</w:t>
      </w:r>
    </w:p>
    <w:p>
      <w:pPr>
        <w:pStyle w:val="2"/>
        <w:numPr>
          <w:ilvl w:val="0"/>
          <w:numId w:val="0"/>
        </w:numPr>
        <w:tabs>
          <w:tab w:val="left" w:pos="421"/>
          <w:tab w:val="left" w:pos="422"/>
        </w:tabs>
        <w:spacing w:before="103" w:after="0" w:line="240" w:lineRule="auto"/>
        <w:ind w:left="103" w:leftChars="0" w:right="0" w:rightChars="0"/>
        <w:jc w:val="left"/>
      </w:pPr>
      <w:r>
        <w:rPr>
          <w:rFonts w:hint="eastAsia" w:eastAsia="宋体"/>
          <w:lang w:val="en-US" w:eastAsia="zh-CN"/>
        </w:rPr>
        <w:t xml:space="preserve">4  </w:t>
      </w:r>
      <w:r>
        <w:t>检验依据</w:t>
      </w:r>
    </w:p>
    <w:p>
      <w:pPr>
        <w:pStyle w:val="3"/>
        <w:spacing w:before="122" w:line="391" w:lineRule="auto"/>
        <w:ind w:right="112" w:firstLine="419"/>
      </w:pPr>
      <w:r>
        <w:rPr>
          <w:spacing w:val="-9"/>
        </w:rPr>
        <w:t>凡是注日期的文件，其随后所有的修改单</w:t>
      </w:r>
      <w:r>
        <w:rPr>
          <w:spacing w:val="-3"/>
        </w:rPr>
        <w:t>（不包括勘误的内容</w:t>
      </w:r>
      <w:r>
        <w:rPr>
          <w:spacing w:val="-34"/>
        </w:rPr>
        <w:t>）</w:t>
      </w:r>
      <w:r>
        <w:rPr>
          <w:spacing w:val="-3"/>
        </w:rPr>
        <w:t>或修订版不适用于本细则。凡是不注日期的引用文件，其最新版本适用于本细则。</w:t>
      </w:r>
    </w:p>
    <w:p>
      <w:pPr>
        <w:spacing w:line="360" w:lineRule="auto"/>
        <w:ind w:firstLine="420" w:firstLineChars="200"/>
        <w:rPr>
          <w:rFonts w:hint="eastAsia" w:ascii="宋体" w:hAnsi="宋体"/>
          <w:bCs/>
          <w:sz w:val="21"/>
          <w:szCs w:val="21"/>
        </w:rPr>
      </w:pPr>
      <w:r>
        <w:rPr>
          <w:rFonts w:hint="eastAsia" w:ascii="宋体" w:hAnsi="宋体"/>
          <w:bCs/>
          <w:sz w:val="21"/>
          <w:szCs w:val="21"/>
        </w:rPr>
        <w:t>QB/T 1224     衣料用液体洗涤剂</w:t>
      </w:r>
    </w:p>
    <w:p>
      <w:pPr>
        <w:spacing w:line="360" w:lineRule="auto"/>
        <w:ind w:firstLine="464" w:firstLineChars="221"/>
        <w:rPr>
          <w:rFonts w:hint="eastAsia" w:ascii="宋体" w:hAnsi="宋体"/>
          <w:bCs/>
          <w:sz w:val="21"/>
          <w:szCs w:val="21"/>
        </w:rPr>
      </w:pPr>
      <w:r>
        <w:rPr>
          <w:rFonts w:hint="eastAsia" w:ascii="宋体" w:hAnsi="宋体"/>
          <w:bCs/>
          <w:sz w:val="21"/>
          <w:szCs w:val="21"/>
        </w:rPr>
        <w:t>GB/T 13173    表面活性剂 洗涤剂试验方法</w:t>
      </w:r>
    </w:p>
    <w:p>
      <w:pPr>
        <w:spacing w:line="360" w:lineRule="auto"/>
        <w:ind w:firstLine="464" w:firstLineChars="221"/>
        <w:rPr>
          <w:rFonts w:hint="eastAsia" w:ascii="宋体" w:hAnsi="宋体"/>
          <w:bCs/>
          <w:sz w:val="21"/>
          <w:szCs w:val="21"/>
        </w:rPr>
      </w:pPr>
      <w:r>
        <w:rPr>
          <w:rFonts w:hint="eastAsia" w:ascii="宋体" w:hAnsi="宋体"/>
          <w:bCs/>
          <w:sz w:val="21"/>
          <w:szCs w:val="21"/>
        </w:rPr>
        <w:t>GB/T 13174    衣料用洗涤剂去污力及循环洗涤性能的测定</w:t>
      </w:r>
    </w:p>
    <w:p>
      <w:pPr>
        <w:spacing w:line="360" w:lineRule="auto"/>
        <w:ind w:firstLine="464" w:firstLineChars="221"/>
        <w:rPr>
          <w:rFonts w:hint="eastAsia" w:ascii="宋体" w:hAnsi="宋体"/>
          <w:bCs/>
          <w:sz w:val="21"/>
          <w:szCs w:val="21"/>
        </w:rPr>
      </w:pPr>
      <w:r>
        <w:rPr>
          <w:rFonts w:hint="eastAsia" w:ascii="宋体" w:hAnsi="宋体"/>
          <w:bCs/>
          <w:sz w:val="21"/>
          <w:szCs w:val="21"/>
        </w:rPr>
        <w:t>GB</w:t>
      </w:r>
      <w:r>
        <w:rPr>
          <w:rFonts w:ascii="宋体" w:hAnsi="宋体"/>
          <w:bCs/>
          <w:sz w:val="21"/>
          <w:szCs w:val="21"/>
        </w:rPr>
        <w:t>/T</w:t>
      </w:r>
      <w:r>
        <w:rPr>
          <w:rFonts w:hint="eastAsia" w:ascii="宋体" w:hAnsi="宋体"/>
          <w:bCs/>
          <w:sz w:val="21"/>
          <w:szCs w:val="21"/>
        </w:rPr>
        <w:t xml:space="preserve"> 6368     表面活性剂 水溶液pH值的测定 电位法</w:t>
      </w:r>
    </w:p>
    <w:p>
      <w:pPr>
        <w:spacing w:line="360" w:lineRule="auto"/>
        <w:ind w:firstLine="202" w:firstLineChars="100"/>
      </w:pPr>
      <w:r>
        <w:rPr>
          <w:spacing w:val="-4"/>
        </w:rPr>
        <w:t>相关的法律法规、部门规章和规范</w:t>
      </w:r>
    </w:p>
    <w:p>
      <w:pPr>
        <w:pStyle w:val="3"/>
        <w:spacing w:before="4"/>
        <w:ind w:firstLine="210" w:firstLineChars="100"/>
      </w:pPr>
      <w:r>
        <w:t>经备案现行有效的企业标准及产品明示质量要求</w:t>
      </w:r>
    </w:p>
    <w:p>
      <w:pPr>
        <w:spacing w:line="360" w:lineRule="auto"/>
        <w:rPr>
          <w:rFonts w:hint="eastAsia" w:ascii="黑体" w:hAnsi="黑体" w:eastAsia="黑体" w:cs="黑体"/>
          <w:bCs/>
          <w:sz w:val="21"/>
          <w:szCs w:val="21"/>
          <w:lang w:eastAsia="zh-CN"/>
        </w:rPr>
      </w:pPr>
      <w:r>
        <w:rPr>
          <w:rFonts w:hint="eastAsia" w:ascii="黑体" w:hAnsi="黑体" w:eastAsia="黑体" w:cs="黑体"/>
          <w:bCs/>
          <w:sz w:val="21"/>
          <w:szCs w:val="21"/>
          <w:lang w:val="en-US" w:eastAsia="zh-CN"/>
        </w:rPr>
        <w:t xml:space="preserve">5  </w:t>
      </w:r>
      <w:r>
        <w:rPr>
          <w:rFonts w:hint="eastAsia" w:ascii="黑体" w:hAnsi="黑体" w:eastAsia="黑体" w:cs="黑体"/>
          <w:bCs/>
          <w:sz w:val="21"/>
          <w:szCs w:val="21"/>
          <w:lang w:eastAsia="zh-CN"/>
        </w:rPr>
        <w:t>抽样</w:t>
      </w:r>
    </w:p>
    <w:p>
      <w:pPr>
        <w:snapToGrid w:val="0"/>
        <w:spacing w:line="440" w:lineRule="exact"/>
        <w:rPr>
          <w:rFonts w:hint="eastAsia" w:ascii="宋体" w:hAnsi="宋体" w:cs="Arial"/>
          <w:color w:val="auto"/>
          <w:szCs w:val="21"/>
          <w:highlight w:val="none"/>
        </w:rPr>
      </w:pPr>
      <w:r>
        <w:rPr>
          <w:rFonts w:hint="eastAsia"/>
          <w:color w:val="auto"/>
          <w:spacing w:val="-3"/>
          <w:sz w:val="21"/>
          <w:highlight w:val="none"/>
          <w:lang w:val="en-US" w:eastAsia="zh-CN"/>
        </w:rPr>
        <w:t>5.1</w:t>
      </w:r>
      <w:r>
        <w:rPr>
          <w:rFonts w:hint="eastAsia" w:ascii="宋体" w:hAnsi="宋体" w:cs="Arial"/>
          <w:color w:val="auto"/>
          <w:szCs w:val="21"/>
          <w:highlight w:val="none"/>
        </w:rPr>
        <w:t>委托抽样</w:t>
      </w:r>
    </w:p>
    <w:p>
      <w:pPr>
        <w:snapToGrid w:val="0"/>
        <w:spacing w:line="440" w:lineRule="exact"/>
        <w:ind w:firstLine="420" w:firstLineChars="200"/>
        <w:rPr>
          <w:rFonts w:hint="eastAsia" w:ascii="宋体" w:hAnsi="宋体" w:cs="Arial"/>
          <w:color w:val="auto"/>
          <w:szCs w:val="21"/>
          <w:highlight w:val="none"/>
        </w:rPr>
      </w:pPr>
      <w:r>
        <w:rPr>
          <w:rFonts w:hint="eastAsia" w:ascii="宋体" w:hAnsi="宋体" w:cs="Arial"/>
          <w:color w:val="auto"/>
          <w:szCs w:val="21"/>
          <w:highlight w:val="none"/>
        </w:rPr>
        <w:t>抽样人员由昆明市市场监督管理局委托的抽样机构组成，抽样人员不得少于两人，并向被抽样生产者、销售者出示昆明市市场监督管理局出具的监督抽查通知书、抽样人员身份证明。同时还应当出示昆明市市场监督管理局出具的授权委托书复印件。抽样人员应当告知被抽样生产者、销售者抽查产品范围、抽样方法等。样品应当由抽样人员在被抽样生产者、销售者待销的具有质量合格证明或者以其他形式表明合格的产品中随机抽取，不得由被抽样生产者、销售者自行抽样。抽取的样品应为同一生产者按照同一标准生产的同一商标、同一规格型号的产品（以下简称“同一产品”）。</w:t>
      </w:r>
    </w:p>
    <w:p>
      <w:pPr>
        <w:pStyle w:val="12"/>
        <w:numPr>
          <w:ilvl w:val="0"/>
          <w:numId w:val="0"/>
        </w:numPr>
        <w:tabs>
          <w:tab w:val="left" w:pos="474"/>
        </w:tabs>
        <w:spacing w:before="122" w:after="0" w:line="240" w:lineRule="auto"/>
        <w:ind w:right="0" w:rightChars="0"/>
        <w:jc w:val="left"/>
        <w:rPr>
          <w:sz w:val="21"/>
        </w:rPr>
      </w:pPr>
      <w:r>
        <w:rPr>
          <w:rFonts w:hint="eastAsia"/>
          <w:spacing w:val="-3"/>
          <w:sz w:val="21"/>
          <w:lang w:val="en-US" w:eastAsia="zh-CN"/>
        </w:rPr>
        <w:t xml:space="preserve">5.2 </w:t>
      </w:r>
      <w:r>
        <w:rPr>
          <w:spacing w:val="-3"/>
          <w:sz w:val="21"/>
        </w:rPr>
        <w:t>抽样型号或规格、保质期</w:t>
      </w:r>
    </w:p>
    <w:p>
      <w:pPr>
        <w:pStyle w:val="3"/>
        <w:spacing w:before="173"/>
        <w:ind w:left="524"/>
        <w:rPr>
          <w:rFonts w:hint="eastAsia" w:ascii="黑体" w:hAnsi="黑体" w:eastAsia="黑体" w:cs="黑体"/>
          <w:bCs/>
          <w:sz w:val="21"/>
          <w:szCs w:val="21"/>
          <w:lang w:eastAsia="zh-CN"/>
        </w:rPr>
      </w:pPr>
      <w:r>
        <w:t>抽取样品保质期须能满足抽样、检验工作的时间且为同一型号规格、同一批次的产品。</w:t>
      </w:r>
    </w:p>
    <w:p>
      <w:pPr>
        <w:spacing w:line="360" w:lineRule="auto"/>
        <w:rPr>
          <w:rFonts w:ascii="宋体" w:hAnsi="宋体"/>
          <w:bCs/>
          <w:sz w:val="21"/>
          <w:szCs w:val="21"/>
        </w:rPr>
      </w:pPr>
      <w:r>
        <w:rPr>
          <w:rFonts w:hint="eastAsia" w:ascii="宋体" w:hAnsi="宋体"/>
          <w:bCs/>
          <w:sz w:val="21"/>
          <w:szCs w:val="21"/>
          <w:lang w:val="en-US" w:eastAsia="zh-CN"/>
        </w:rPr>
        <w:t xml:space="preserve">5.3 </w:t>
      </w:r>
      <w:r>
        <w:rPr>
          <w:rFonts w:ascii="宋体" w:hAnsi="宋体"/>
          <w:bCs/>
          <w:sz w:val="21"/>
          <w:szCs w:val="21"/>
        </w:rPr>
        <w:t>抽样型号</w:t>
      </w:r>
      <w:r>
        <w:rPr>
          <w:rFonts w:hint="eastAsia" w:ascii="宋体" w:hAnsi="宋体"/>
          <w:bCs/>
          <w:sz w:val="21"/>
          <w:szCs w:val="21"/>
        </w:rPr>
        <w:t>或</w:t>
      </w:r>
      <w:r>
        <w:rPr>
          <w:rFonts w:ascii="宋体" w:hAnsi="宋体"/>
          <w:bCs/>
          <w:sz w:val="21"/>
          <w:szCs w:val="21"/>
        </w:rPr>
        <w:t xml:space="preserve">规格 </w:t>
      </w:r>
    </w:p>
    <w:p>
      <w:pPr>
        <w:spacing w:line="360" w:lineRule="auto"/>
        <w:rPr>
          <w:rFonts w:hint="default" w:ascii="宋体" w:hAnsi="宋体" w:eastAsia="宋体"/>
          <w:bCs/>
          <w:sz w:val="21"/>
          <w:szCs w:val="21"/>
          <w:lang w:val="en-US" w:eastAsia="zh-CN"/>
        </w:rPr>
      </w:pPr>
      <w:r>
        <w:rPr>
          <w:rFonts w:hint="eastAsia" w:ascii="宋体" w:hAnsi="宋体"/>
          <w:bCs/>
          <w:sz w:val="21"/>
          <w:szCs w:val="21"/>
          <w:lang w:val="en-US" w:eastAsia="zh-CN"/>
        </w:rPr>
        <w:t xml:space="preserve">  抽取样品应为同一型号、同一批次的产品。</w:t>
      </w:r>
    </w:p>
    <w:p>
      <w:pPr>
        <w:spacing w:line="360" w:lineRule="auto"/>
        <w:ind w:firstLine="210" w:firstLineChars="100"/>
        <w:rPr>
          <w:rFonts w:ascii="宋体" w:hAnsi="宋体"/>
          <w:bCs/>
          <w:sz w:val="32"/>
          <w:szCs w:val="32"/>
        </w:rPr>
      </w:pPr>
      <w:r>
        <w:rPr>
          <w:rFonts w:hint="eastAsia" w:ascii="宋体" w:hAnsi="宋体"/>
          <w:bCs/>
          <w:sz w:val="21"/>
          <w:szCs w:val="21"/>
        </w:rPr>
        <w:t>符合规定的任一品种均可抽取。每个企业每个品种抽查的产品不得超过1个批次。抽查有多个产品时，抽查的品种由抽样人员现场随机确定。</w:t>
      </w:r>
    </w:p>
    <w:p>
      <w:pPr>
        <w:spacing w:line="360" w:lineRule="auto"/>
        <w:rPr>
          <w:rFonts w:ascii="宋体" w:hAnsi="宋体"/>
          <w:bCs/>
          <w:sz w:val="21"/>
          <w:szCs w:val="21"/>
        </w:rPr>
      </w:pPr>
      <w:r>
        <w:rPr>
          <w:rFonts w:hint="eastAsia" w:ascii="宋体" w:hAnsi="宋体"/>
          <w:bCs/>
          <w:sz w:val="21"/>
          <w:szCs w:val="21"/>
          <w:lang w:val="en-US" w:eastAsia="zh-CN"/>
        </w:rPr>
        <w:t xml:space="preserve">5.4 </w:t>
      </w:r>
      <w:r>
        <w:rPr>
          <w:rFonts w:hint="eastAsia" w:ascii="宋体" w:hAnsi="宋体"/>
          <w:bCs/>
          <w:sz w:val="21"/>
          <w:szCs w:val="21"/>
        </w:rPr>
        <w:t>抽样方法、基数及数量</w:t>
      </w:r>
    </w:p>
    <w:p>
      <w:pPr>
        <w:spacing w:line="360" w:lineRule="auto"/>
        <w:ind w:firstLine="464" w:firstLineChars="221"/>
        <w:rPr>
          <w:rFonts w:hint="eastAsia" w:ascii="宋体" w:hAnsi="宋体"/>
          <w:bCs/>
          <w:sz w:val="21"/>
          <w:szCs w:val="21"/>
        </w:rPr>
      </w:pPr>
      <w:r>
        <w:rPr>
          <w:rFonts w:hint="eastAsia" w:ascii="宋体" w:hAnsi="宋体"/>
          <w:bCs/>
          <w:sz w:val="21"/>
          <w:szCs w:val="21"/>
        </w:rPr>
        <w:t>产品按批抽样，同条件生产的同一类型、规格、批号的产品组成一批。产品保质期必须满足抽样、检验工作的时间需要。抽样基数应不少于抽取样品量。</w:t>
      </w:r>
    </w:p>
    <w:p>
      <w:pPr>
        <w:spacing w:line="360" w:lineRule="auto"/>
        <w:ind w:firstLine="464" w:firstLineChars="221"/>
        <w:rPr>
          <w:rFonts w:hint="eastAsia" w:ascii="宋体" w:hAnsi="宋体"/>
          <w:bCs/>
          <w:sz w:val="21"/>
          <w:szCs w:val="21"/>
        </w:rPr>
      </w:pPr>
      <w:r>
        <w:rPr>
          <w:rFonts w:hint="eastAsia" w:ascii="宋体" w:hAnsi="宋体"/>
          <w:bCs/>
          <w:sz w:val="21"/>
          <w:szCs w:val="21"/>
        </w:rPr>
        <w:t>产品抽样时，按照QB/T 2951《洗涤用品检验规则》中的规定方法进行，随机抽取样品总量不少于2</w:t>
      </w:r>
      <w:r>
        <w:rPr>
          <w:rFonts w:ascii="宋体" w:hAnsi="宋体"/>
          <w:bCs/>
          <w:sz w:val="21"/>
          <w:szCs w:val="21"/>
        </w:rPr>
        <w:t>kg</w:t>
      </w:r>
      <w:r>
        <w:rPr>
          <w:rFonts w:hint="eastAsia" w:ascii="宋体" w:hAnsi="宋体"/>
          <w:bCs/>
          <w:sz w:val="21"/>
          <w:szCs w:val="21"/>
        </w:rPr>
        <w:t>。单位包装小于1 kg的产品应不少于4个独立包装，样品分为两份，一份作为检验样品（不少于2个独立包装），另一份作为备用样品（不少于2个独立包装）。在流通领域的经营单位抽样：采取购买样品的方式，</w:t>
      </w:r>
    </w:p>
    <w:p>
      <w:pPr>
        <w:spacing w:line="360" w:lineRule="auto"/>
        <w:rPr>
          <w:rFonts w:hint="eastAsia" w:ascii="宋体" w:hAnsi="宋体"/>
          <w:bCs/>
          <w:sz w:val="21"/>
          <w:szCs w:val="21"/>
        </w:rPr>
      </w:pPr>
      <w:r>
        <w:rPr>
          <w:rFonts w:hint="eastAsia" w:ascii="宋体" w:hAnsi="宋体"/>
          <w:bCs/>
          <w:sz w:val="21"/>
          <w:szCs w:val="21"/>
          <w:lang w:val="en-US" w:eastAsia="zh-CN"/>
        </w:rPr>
        <w:t xml:space="preserve">5.5 </w:t>
      </w:r>
      <w:r>
        <w:rPr>
          <w:rFonts w:hint="eastAsia" w:ascii="宋体" w:hAnsi="宋体"/>
          <w:bCs/>
          <w:sz w:val="21"/>
          <w:szCs w:val="21"/>
        </w:rPr>
        <w:t>样品处置</w:t>
      </w:r>
    </w:p>
    <w:p>
      <w:pPr>
        <w:spacing w:line="360" w:lineRule="auto"/>
        <w:ind w:firstLine="464" w:firstLineChars="221"/>
        <w:rPr>
          <w:rFonts w:ascii="宋体" w:hAnsi="宋体"/>
          <w:bCs/>
          <w:sz w:val="21"/>
          <w:szCs w:val="21"/>
        </w:rPr>
      </w:pPr>
      <w:r>
        <w:rPr>
          <w:rFonts w:hint="eastAsia" w:ascii="宋体" w:hAnsi="宋体"/>
          <w:bCs/>
          <w:sz w:val="21"/>
          <w:szCs w:val="21"/>
        </w:rPr>
        <w:t>抽取的样品按运输条件包装好，在包装上的所有可能的开口处贴上双方签字认可的封条。抽样完成后样品送交承检单位，检验样品和备用样品均应存放在承检单位。送样时严防雨淋、日晒、受潮，装卸时轻搬轻放，严禁掷抛，贮存时注意防晒、防雨淋、防潮。</w:t>
      </w:r>
    </w:p>
    <w:p>
      <w:pPr>
        <w:spacing w:line="360" w:lineRule="auto"/>
        <w:rPr>
          <w:rFonts w:hint="eastAsia" w:ascii="宋体" w:hAnsi="宋体"/>
          <w:bCs/>
          <w:sz w:val="21"/>
          <w:szCs w:val="21"/>
        </w:rPr>
      </w:pPr>
      <w:r>
        <w:rPr>
          <w:rFonts w:hint="eastAsia" w:ascii="宋体" w:hAnsi="宋体"/>
          <w:bCs/>
          <w:sz w:val="21"/>
          <w:szCs w:val="21"/>
          <w:lang w:val="en-US" w:eastAsia="zh-CN"/>
        </w:rPr>
        <w:t xml:space="preserve">5.6 </w:t>
      </w:r>
      <w:r>
        <w:rPr>
          <w:rFonts w:hint="eastAsia" w:ascii="宋体" w:hAnsi="宋体"/>
          <w:bCs/>
          <w:sz w:val="21"/>
          <w:szCs w:val="21"/>
        </w:rPr>
        <w:t>抽样单</w:t>
      </w:r>
    </w:p>
    <w:p>
      <w:pPr>
        <w:spacing w:line="360" w:lineRule="auto"/>
        <w:ind w:firstLine="420" w:firstLineChars="200"/>
        <w:rPr>
          <w:rFonts w:hint="eastAsia" w:ascii="宋体" w:hAnsi="宋体"/>
          <w:bCs/>
          <w:sz w:val="21"/>
          <w:szCs w:val="21"/>
        </w:rPr>
      </w:pPr>
      <w:r>
        <w:rPr>
          <w:rFonts w:hint="eastAsia" w:ascii="宋体" w:hAnsi="宋体"/>
          <w:bCs/>
          <w:sz w:val="21"/>
          <w:szCs w:val="21"/>
        </w:rPr>
        <w:t>应按有关规定填写抽样单，并记录被抽查产品及企业相关信息。</w:t>
      </w:r>
      <w:r>
        <w:t>对于产品检验所需的样品技术参数（如：产品类型）等信息，需要被抽企业提供的，应在抽样现场获取，并经企业确认</w:t>
      </w:r>
      <w:r>
        <w:rPr>
          <w:rFonts w:hint="eastAsia" w:ascii="宋体" w:hAnsi="宋体"/>
          <w:bCs/>
          <w:sz w:val="21"/>
          <w:szCs w:val="21"/>
        </w:rPr>
        <w:t>。</w:t>
      </w:r>
    </w:p>
    <w:p>
      <w:pPr>
        <w:snapToGrid w:val="0"/>
        <w:spacing w:line="440" w:lineRule="exact"/>
        <w:rPr>
          <w:rFonts w:hint="eastAsia" w:ascii="黑体" w:hAnsi="黑体" w:eastAsia="黑体" w:cs="Sim Sun"/>
          <w:b w:val="0"/>
          <w:bCs w:val="0"/>
          <w:kern w:val="0"/>
          <w:szCs w:val="21"/>
        </w:rPr>
      </w:pPr>
      <w:r>
        <w:rPr>
          <w:rFonts w:hint="eastAsia" w:ascii="黑体" w:hAnsi="黑体" w:eastAsia="黑体" w:cs="Sim Sun"/>
          <w:b w:val="0"/>
          <w:bCs w:val="0"/>
          <w:kern w:val="0"/>
          <w:szCs w:val="21"/>
          <w:lang w:val="en-US" w:eastAsia="zh-CN"/>
        </w:rPr>
        <w:t>5</w:t>
      </w:r>
      <w:r>
        <w:rPr>
          <w:rFonts w:hint="eastAsia" w:ascii="黑体" w:hAnsi="黑体" w:eastAsia="黑体" w:cs="Sim Sun"/>
          <w:b w:val="0"/>
          <w:bCs w:val="0"/>
          <w:kern w:val="0"/>
          <w:szCs w:val="21"/>
        </w:rPr>
        <w:t>.</w:t>
      </w:r>
      <w:r>
        <w:rPr>
          <w:rFonts w:hint="eastAsia" w:ascii="黑体" w:hAnsi="黑体" w:eastAsia="黑体" w:cs="Sim Sun"/>
          <w:b w:val="0"/>
          <w:bCs w:val="0"/>
          <w:kern w:val="0"/>
          <w:szCs w:val="21"/>
          <w:lang w:val="en-US" w:eastAsia="zh-CN"/>
        </w:rPr>
        <w:t xml:space="preserve">7 </w:t>
      </w:r>
      <w:r>
        <w:rPr>
          <w:rFonts w:hint="eastAsia" w:ascii="黑体" w:hAnsi="黑体" w:eastAsia="黑体" w:cs="Sim Sun"/>
          <w:b w:val="0"/>
          <w:bCs w:val="0"/>
          <w:kern w:val="0"/>
          <w:szCs w:val="21"/>
        </w:rPr>
        <w:t>购样</w:t>
      </w:r>
    </w:p>
    <w:p>
      <w:pPr>
        <w:snapToGrid w:val="0"/>
        <w:spacing w:line="440" w:lineRule="exact"/>
        <w:rPr>
          <w:rFonts w:hint="eastAsia" w:ascii="宋体" w:hAnsi="宋体" w:cs="Arial"/>
          <w:szCs w:val="21"/>
        </w:rPr>
      </w:pPr>
      <w:r>
        <w:rPr>
          <w:rFonts w:hint="eastAsia" w:ascii="宋体" w:hAnsi="宋体" w:cs="Arial"/>
          <w:szCs w:val="21"/>
          <w:lang w:val="en-US" w:eastAsia="zh-CN"/>
        </w:rPr>
        <w:t>5.7</w:t>
      </w:r>
      <w:r>
        <w:rPr>
          <w:rFonts w:hint="eastAsia" w:ascii="宋体" w:hAnsi="宋体" w:cs="Arial"/>
          <w:szCs w:val="21"/>
        </w:rPr>
        <w:t>.1抽样人员应当购买检验样品。购买检验样品的价格以生产、销售产品的标价为准；没有标价的，以同类产品的市场价格为准。</w:t>
      </w:r>
    </w:p>
    <w:p>
      <w:pPr>
        <w:snapToGrid w:val="0"/>
        <w:spacing w:line="440" w:lineRule="exact"/>
        <w:rPr>
          <w:rFonts w:hint="eastAsia" w:ascii="宋体" w:hAnsi="宋体" w:cs="Arial"/>
          <w:color w:val="FF0000"/>
          <w:szCs w:val="21"/>
        </w:rPr>
      </w:pPr>
      <w:r>
        <w:rPr>
          <w:rFonts w:hint="eastAsia" w:ascii="宋体" w:hAnsi="宋体" w:cs="Arial"/>
          <w:szCs w:val="21"/>
          <w:lang w:val="en-US" w:eastAsia="zh-CN"/>
        </w:rPr>
        <w:t>5.7</w:t>
      </w:r>
      <w:r>
        <w:rPr>
          <w:rFonts w:hint="eastAsia" w:ascii="宋体" w:hAnsi="宋体" w:cs="Arial"/>
          <w:szCs w:val="21"/>
        </w:rPr>
        <w:t>.2备用样品由被抽样生产者、销售者先行无偿提供。检验结论为合格并且属于无偿提供的样品，</w:t>
      </w:r>
      <w:r>
        <w:rPr>
          <w:rFonts w:hint="eastAsia" w:ascii="宋体" w:hAnsi="宋体" w:cs="Arial"/>
          <w:color w:val="000000"/>
          <w:szCs w:val="21"/>
          <w:lang w:eastAsia="zh-CN"/>
        </w:rPr>
        <w:t>由承检机构</w:t>
      </w:r>
      <w:r>
        <w:rPr>
          <w:rFonts w:hint="eastAsia" w:ascii="宋体" w:hAnsi="宋体" w:cs="Arial"/>
          <w:color w:val="000000"/>
          <w:szCs w:val="21"/>
        </w:rPr>
        <w:t>在提出异议处理申请期限届满后及时退还</w:t>
      </w:r>
      <w:r>
        <w:rPr>
          <w:rFonts w:hint="eastAsia" w:ascii="宋体" w:hAnsi="宋体" w:cs="Arial"/>
          <w:szCs w:val="21"/>
        </w:rPr>
        <w:t>。</w:t>
      </w:r>
    </w:p>
    <w:p>
      <w:pPr>
        <w:snapToGrid w:val="0"/>
        <w:spacing w:line="440" w:lineRule="exact"/>
        <w:rPr>
          <w:rFonts w:hint="eastAsia" w:ascii="黑体" w:hAnsi="黑体" w:eastAsia="黑体" w:cs="黑体"/>
          <w:bCs/>
          <w:sz w:val="21"/>
          <w:szCs w:val="21"/>
          <w:lang w:val="en-US" w:eastAsia="zh-CN"/>
        </w:rPr>
      </w:pPr>
      <w:r>
        <w:rPr>
          <w:rFonts w:hint="eastAsia" w:ascii="宋体" w:hAnsi="宋体" w:cs="Arial"/>
          <w:szCs w:val="21"/>
          <w:lang w:val="en-US" w:eastAsia="zh-CN"/>
        </w:rPr>
        <w:t>5.7</w:t>
      </w:r>
      <w:r>
        <w:rPr>
          <w:rFonts w:hint="eastAsia" w:ascii="宋体" w:hAnsi="宋体" w:cs="Arial"/>
          <w:color w:val="000000"/>
          <w:szCs w:val="21"/>
        </w:rPr>
        <w:t>.3本细则中检验样品均需购买，备用样品由被抽样生产者、销售者先行无偿提供。</w:t>
      </w:r>
    </w:p>
    <w:p>
      <w:pPr>
        <w:spacing w:line="360" w:lineRule="auto"/>
        <w:rPr>
          <w:rFonts w:hint="eastAsia" w:ascii="黑体" w:hAnsi="黑体" w:eastAsia="黑体" w:cs="黑体"/>
          <w:b w:val="0"/>
          <w:bCs/>
          <w:sz w:val="21"/>
          <w:szCs w:val="21"/>
        </w:rPr>
      </w:pPr>
      <w:r>
        <w:rPr>
          <w:rFonts w:hint="eastAsia" w:ascii="黑体" w:hAnsi="黑体" w:eastAsia="黑体" w:cs="黑体"/>
          <w:b w:val="0"/>
          <w:bCs/>
          <w:sz w:val="21"/>
          <w:szCs w:val="21"/>
          <w:lang w:val="en-US" w:eastAsia="zh-CN"/>
        </w:rPr>
        <w:t xml:space="preserve">6  </w:t>
      </w:r>
      <w:r>
        <w:rPr>
          <w:rFonts w:hint="eastAsia" w:ascii="黑体" w:hAnsi="黑体" w:eastAsia="黑体" w:cs="黑体"/>
          <w:b w:val="0"/>
          <w:bCs/>
          <w:sz w:val="21"/>
          <w:szCs w:val="21"/>
        </w:rPr>
        <w:t>检验要求</w:t>
      </w:r>
    </w:p>
    <w:p>
      <w:pPr>
        <w:spacing w:line="360" w:lineRule="auto"/>
        <w:rPr>
          <w:rFonts w:hint="eastAsia" w:ascii="宋体" w:hAnsi="宋体"/>
          <w:bCs/>
          <w:sz w:val="21"/>
          <w:szCs w:val="21"/>
          <w:lang w:eastAsia="zh-CN"/>
        </w:rPr>
      </w:pPr>
      <w:r>
        <w:rPr>
          <w:rFonts w:hint="eastAsia"/>
          <w:lang w:val="en-US" w:eastAsia="zh-CN"/>
        </w:rPr>
        <w:t xml:space="preserve">6.1 </w:t>
      </w:r>
      <w:r>
        <w:rPr>
          <w:rFonts w:hint="eastAsia"/>
          <w:lang w:eastAsia="zh-CN"/>
        </w:rPr>
        <w:t>衣料用液体洗涤剂</w:t>
      </w:r>
      <w:r>
        <w:rPr>
          <w:rFonts w:ascii="宋体" w:hAnsi="宋体"/>
          <w:bCs/>
          <w:sz w:val="21"/>
          <w:szCs w:val="21"/>
        </w:rPr>
        <w:t>检验项目及</w:t>
      </w:r>
      <w:r>
        <w:rPr>
          <w:rFonts w:hint="eastAsia" w:ascii="宋体" w:hAnsi="宋体"/>
          <w:bCs/>
          <w:sz w:val="21"/>
          <w:szCs w:val="21"/>
        </w:rPr>
        <w:t>重要程度</w:t>
      </w:r>
      <w:r>
        <w:rPr>
          <w:rFonts w:ascii="宋体" w:hAnsi="宋体"/>
          <w:bCs/>
          <w:sz w:val="21"/>
          <w:szCs w:val="21"/>
        </w:rPr>
        <w:t>分类</w:t>
      </w:r>
      <w:r>
        <w:rPr>
          <w:rFonts w:hint="eastAsia" w:ascii="宋体" w:hAnsi="宋体"/>
          <w:bCs/>
          <w:sz w:val="21"/>
          <w:szCs w:val="21"/>
          <w:lang w:eastAsia="zh-CN"/>
        </w:rPr>
        <w:t>见下表。</w:t>
      </w:r>
    </w:p>
    <w:p>
      <w:pPr>
        <w:spacing w:line="360" w:lineRule="auto"/>
        <w:ind w:firstLine="1890" w:firstLineChars="900"/>
        <w:rPr>
          <w:rFonts w:hint="eastAsia" w:ascii="宋体" w:hAnsi="宋体" w:eastAsia="宋体"/>
          <w:bCs/>
          <w:sz w:val="21"/>
          <w:szCs w:val="21"/>
          <w:lang w:val="en-US" w:eastAsia="zh-CN"/>
        </w:rPr>
      </w:pPr>
      <w:r>
        <w:rPr>
          <w:rFonts w:hint="eastAsia"/>
          <w:lang w:eastAsia="zh-CN"/>
        </w:rPr>
        <w:t>表</w:t>
      </w:r>
      <w:r>
        <w:rPr>
          <w:rFonts w:hint="eastAsia"/>
          <w:lang w:val="en-US" w:eastAsia="zh-CN"/>
        </w:rPr>
        <w:t>1：</w:t>
      </w:r>
      <w:r>
        <w:rPr>
          <w:rFonts w:hint="eastAsia"/>
          <w:lang w:eastAsia="zh-CN"/>
        </w:rPr>
        <w:t>衣料用液体洗涤剂</w:t>
      </w:r>
      <w:r>
        <w:rPr>
          <w:rFonts w:ascii="宋体" w:hAnsi="宋体"/>
          <w:bCs/>
          <w:sz w:val="21"/>
          <w:szCs w:val="21"/>
        </w:rPr>
        <w:t>检验项目及</w:t>
      </w:r>
      <w:r>
        <w:rPr>
          <w:rFonts w:hint="eastAsia" w:ascii="宋体" w:hAnsi="宋体"/>
          <w:bCs/>
          <w:sz w:val="21"/>
          <w:szCs w:val="21"/>
        </w:rPr>
        <w:t>重要程度</w:t>
      </w:r>
      <w:r>
        <w:rPr>
          <w:rFonts w:ascii="宋体" w:hAnsi="宋体"/>
          <w:bCs/>
          <w:sz w:val="21"/>
          <w:szCs w:val="21"/>
        </w:rPr>
        <w:t>分类</w:t>
      </w:r>
    </w:p>
    <w:tbl>
      <w:tblPr>
        <w:tblStyle w:val="7"/>
        <w:tblW w:w="8918" w:type="dxa"/>
        <w:jc w:val="center"/>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5"/>
        <w:gridCol w:w="2258"/>
        <w:gridCol w:w="1701"/>
        <w:gridCol w:w="1276"/>
        <w:gridCol w:w="1834"/>
        <w:gridCol w:w="644"/>
        <w:gridCol w:w="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565" w:type="dxa"/>
            <w:vMerge w:val="restart"/>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序号</w:t>
            </w:r>
          </w:p>
        </w:tc>
        <w:tc>
          <w:tcPr>
            <w:tcW w:w="2258" w:type="dxa"/>
            <w:vMerge w:val="restart"/>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检验项目</w:t>
            </w:r>
          </w:p>
        </w:tc>
        <w:tc>
          <w:tcPr>
            <w:tcW w:w="1701" w:type="dxa"/>
            <w:vMerge w:val="restart"/>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依据标准</w:t>
            </w:r>
            <w:r>
              <w:rPr>
                <w:rFonts w:ascii="宋体" w:hAnsi="宋体"/>
                <w:color w:val="000000"/>
                <w:sz w:val="21"/>
                <w:szCs w:val="21"/>
              </w:rPr>
              <w:t>/</w:t>
            </w:r>
            <w:r>
              <w:rPr>
                <w:rFonts w:hint="eastAsia" w:ascii="宋体" w:hAnsi="宋体"/>
                <w:color w:val="000000"/>
                <w:sz w:val="21"/>
                <w:szCs w:val="21"/>
              </w:rPr>
              <w:t>条款</w:t>
            </w:r>
          </w:p>
        </w:tc>
        <w:tc>
          <w:tcPr>
            <w:tcW w:w="1276" w:type="dxa"/>
            <w:vMerge w:val="restart"/>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强制性</w:t>
            </w:r>
            <w:r>
              <w:rPr>
                <w:rFonts w:ascii="宋体" w:hAnsi="宋体"/>
                <w:color w:val="000000"/>
                <w:sz w:val="21"/>
                <w:szCs w:val="21"/>
              </w:rPr>
              <w:t>/</w:t>
            </w:r>
          </w:p>
          <w:p>
            <w:pPr>
              <w:snapToGrid w:val="0"/>
              <w:spacing w:line="320" w:lineRule="exact"/>
              <w:jc w:val="center"/>
              <w:rPr>
                <w:rFonts w:ascii="宋体" w:hAnsi="宋体"/>
                <w:color w:val="000000"/>
                <w:sz w:val="21"/>
                <w:szCs w:val="21"/>
              </w:rPr>
            </w:pPr>
            <w:r>
              <w:rPr>
                <w:rFonts w:hint="eastAsia" w:ascii="宋体" w:hAnsi="宋体"/>
                <w:color w:val="000000"/>
                <w:sz w:val="21"/>
                <w:szCs w:val="21"/>
              </w:rPr>
              <w:t>推荐性</w:t>
            </w:r>
          </w:p>
        </w:tc>
        <w:tc>
          <w:tcPr>
            <w:tcW w:w="1834" w:type="dxa"/>
            <w:vMerge w:val="restart"/>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检测方法</w:t>
            </w:r>
          </w:p>
        </w:tc>
        <w:tc>
          <w:tcPr>
            <w:tcW w:w="1284" w:type="dxa"/>
            <w:gridSpan w:val="2"/>
            <w:noWrap w:val="0"/>
            <w:vAlign w:val="center"/>
          </w:tcPr>
          <w:p>
            <w:pPr>
              <w:snapToGrid w:val="0"/>
              <w:spacing w:line="320" w:lineRule="exact"/>
              <w:jc w:val="center"/>
              <w:rPr>
                <w:rFonts w:ascii="宋体" w:hAnsi="宋体"/>
                <w:color w:val="000000"/>
                <w:sz w:val="21"/>
                <w:szCs w:val="21"/>
              </w:rPr>
            </w:pPr>
            <w:r>
              <w:rPr>
                <w:rFonts w:hint="eastAsia" w:ascii="宋体" w:hAnsi="宋体"/>
                <w:color w:val="000000"/>
                <w:sz w:val="21"/>
                <w:szCs w:val="21"/>
              </w:rPr>
              <w:t>重要程度分类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565" w:type="dxa"/>
            <w:vMerge w:val="continue"/>
            <w:noWrap w:val="0"/>
            <w:vAlign w:val="center"/>
          </w:tcPr>
          <w:p>
            <w:pPr>
              <w:widowControl/>
              <w:jc w:val="center"/>
              <w:rPr>
                <w:rFonts w:ascii="宋体" w:hAnsi="宋体"/>
                <w:color w:val="000000"/>
                <w:sz w:val="21"/>
                <w:szCs w:val="21"/>
              </w:rPr>
            </w:pPr>
          </w:p>
        </w:tc>
        <w:tc>
          <w:tcPr>
            <w:tcW w:w="2258" w:type="dxa"/>
            <w:vMerge w:val="continue"/>
            <w:noWrap w:val="0"/>
            <w:vAlign w:val="center"/>
          </w:tcPr>
          <w:p>
            <w:pPr>
              <w:widowControl/>
              <w:jc w:val="center"/>
              <w:rPr>
                <w:rFonts w:ascii="宋体" w:hAnsi="宋体"/>
                <w:color w:val="000000"/>
                <w:sz w:val="21"/>
                <w:szCs w:val="21"/>
              </w:rPr>
            </w:pPr>
          </w:p>
        </w:tc>
        <w:tc>
          <w:tcPr>
            <w:tcW w:w="1701" w:type="dxa"/>
            <w:vMerge w:val="continue"/>
            <w:noWrap w:val="0"/>
            <w:vAlign w:val="center"/>
          </w:tcPr>
          <w:p>
            <w:pPr>
              <w:widowControl/>
              <w:jc w:val="center"/>
              <w:rPr>
                <w:rFonts w:ascii="宋体" w:hAnsi="宋体"/>
                <w:color w:val="000000"/>
                <w:sz w:val="21"/>
                <w:szCs w:val="21"/>
              </w:rPr>
            </w:pPr>
          </w:p>
        </w:tc>
        <w:tc>
          <w:tcPr>
            <w:tcW w:w="1276" w:type="dxa"/>
            <w:vMerge w:val="continue"/>
            <w:noWrap w:val="0"/>
            <w:vAlign w:val="center"/>
          </w:tcPr>
          <w:p>
            <w:pPr>
              <w:widowControl/>
              <w:jc w:val="center"/>
              <w:rPr>
                <w:rFonts w:ascii="宋体" w:hAnsi="宋体"/>
                <w:color w:val="000000"/>
                <w:sz w:val="21"/>
                <w:szCs w:val="21"/>
              </w:rPr>
            </w:pPr>
          </w:p>
        </w:tc>
        <w:tc>
          <w:tcPr>
            <w:tcW w:w="1834" w:type="dxa"/>
            <w:vMerge w:val="continue"/>
            <w:noWrap w:val="0"/>
            <w:vAlign w:val="center"/>
          </w:tcPr>
          <w:p>
            <w:pPr>
              <w:widowControl/>
              <w:jc w:val="center"/>
              <w:rPr>
                <w:rFonts w:ascii="宋体" w:hAnsi="宋体"/>
                <w:color w:val="000000"/>
                <w:sz w:val="21"/>
                <w:szCs w:val="21"/>
              </w:rPr>
            </w:pPr>
          </w:p>
        </w:tc>
        <w:tc>
          <w:tcPr>
            <w:tcW w:w="644" w:type="dxa"/>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A</w:t>
            </w:r>
            <w:r>
              <w:rPr>
                <w:rFonts w:hint="eastAsia" w:ascii="宋体" w:hAnsi="宋体"/>
                <w:color w:val="000000"/>
                <w:sz w:val="21"/>
                <w:szCs w:val="21"/>
              </w:rPr>
              <w:t>类</w:t>
            </w:r>
          </w:p>
        </w:tc>
        <w:tc>
          <w:tcPr>
            <w:tcW w:w="640" w:type="dxa"/>
            <w:noWrap w:val="0"/>
            <w:vAlign w:val="top"/>
          </w:tcPr>
          <w:p>
            <w:pPr>
              <w:snapToGrid w:val="0"/>
              <w:spacing w:line="320" w:lineRule="exact"/>
              <w:jc w:val="center"/>
              <w:rPr>
                <w:rFonts w:ascii="宋体" w:hAnsi="宋体"/>
                <w:color w:val="000000"/>
                <w:sz w:val="21"/>
                <w:szCs w:val="21"/>
              </w:rPr>
            </w:pPr>
            <w:r>
              <w:rPr>
                <w:rFonts w:ascii="宋体" w:hAnsi="宋体"/>
                <w:color w:val="000000"/>
                <w:sz w:val="21"/>
                <w:szCs w:val="21"/>
              </w:rPr>
              <w:t>B</w:t>
            </w:r>
            <w:r>
              <w:rPr>
                <w:rFonts w:hint="eastAsia" w:ascii="宋体" w:hAnsi="宋体"/>
                <w:color w:val="000000"/>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1</w:t>
            </w:r>
          </w:p>
        </w:tc>
        <w:tc>
          <w:tcPr>
            <w:tcW w:w="2258" w:type="dxa"/>
            <w:noWrap w:val="0"/>
            <w:vAlign w:val="center"/>
          </w:tcPr>
          <w:p>
            <w:pPr>
              <w:snapToGrid w:val="0"/>
              <w:spacing w:line="500" w:lineRule="exact"/>
              <w:rPr>
                <w:rFonts w:hint="eastAsia" w:ascii="宋体" w:hAnsi="宋体"/>
                <w:sz w:val="21"/>
                <w:szCs w:val="21"/>
              </w:rPr>
            </w:pPr>
            <w:r>
              <w:rPr>
                <w:rFonts w:hint="eastAsia" w:ascii="宋体" w:hAnsi="宋体" w:cs="宋体"/>
                <w:kern w:val="2"/>
                <w:sz w:val="21"/>
                <w:szCs w:val="21"/>
              </w:rPr>
              <w:t>感官指标（外观、气味）</w:t>
            </w:r>
          </w:p>
        </w:tc>
        <w:tc>
          <w:tcPr>
            <w:tcW w:w="1701" w:type="dxa"/>
            <w:vMerge w:val="restart"/>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QB/T 1224</w:t>
            </w:r>
          </w:p>
        </w:tc>
        <w:tc>
          <w:tcPr>
            <w:tcW w:w="1276" w:type="dxa"/>
            <w:vMerge w:val="restart"/>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推荐性</w:t>
            </w: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QB/T 1224</w:t>
            </w:r>
          </w:p>
        </w:tc>
        <w:tc>
          <w:tcPr>
            <w:tcW w:w="644" w:type="dxa"/>
            <w:noWrap w:val="0"/>
            <w:vAlign w:val="center"/>
          </w:tcPr>
          <w:p>
            <w:pPr>
              <w:snapToGrid w:val="0"/>
              <w:spacing w:line="320" w:lineRule="exact"/>
              <w:jc w:val="center"/>
              <w:rPr>
                <w:rFonts w:ascii="宋体" w:hAnsi="宋体"/>
                <w:color w:val="000000"/>
                <w:sz w:val="21"/>
                <w:szCs w:val="21"/>
              </w:rPr>
            </w:pPr>
          </w:p>
        </w:tc>
        <w:tc>
          <w:tcPr>
            <w:tcW w:w="640" w:type="dxa"/>
            <w:noWrap w:val="0"/>
            <w:vAlign w:val="center"/>
          </w:tcPr>
          <w:p>
            <w:pPr>
              <w:snapToGrid w:val="0"/>
              <w:spacing w:line="320" w:lineRule="exact"/>
              <w:jc w:val="center"/>
              <w:rPr>
                <w:rFonts w:ascii="宋体" w:hAnsi="宋体"/>
                <w:color w:val="000000"/>
                <w:sz w:val="21"/>
                <w:szCs w:val="21"/>
              </w:rPr>
            </w:pP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2</w:t>
            </w:r>
          </w:p>
        </w:tc>
        <w:tc>
          <w:tcPr>
            <w:tcW w:w="2258" w:type="dxa"/>
            <w:noWrap w:val="0"/>
            <w:vAlign w:val="center"/>
          </w:tcPr>
          <w:p>
            <w:pPr>
              <w:snapToGrid w:val="0"/>
              <w:spacing w:line="500" w:lineRule="exact"/>
              <w:rPr>
                <w:rFonts w:hint="eastAsia" w:ascii="宋体" w:hAnsi="宋体"/>
                <w:sz w:val="21"/>
                <w:szCs w:val="21"/>
              </w:rPr>
            </w:pPr>
            <w:r>
              <w:rPr>
                <w:rFonts w:hint="eastAsia" w:ascii="宋体" w:hAnsi="宋体"/>
                <w:sz w:val="21"/>
                <w:szCs w:val="21"/>
              </w:rPr>
              <w:t>稳定性</w:t>
            </w:r>
          </w:p>
        </w:tc>
        <w:tc>
          <w:tcPr>
            <w:tcW w:w="1701" w:type="dxa"/>
            <w:vMerge w:val="continue"/>
            <w:noWrap w:val="0"/>
            <w:vAlign w:val="center"/>
          </w:tcPr>
          <w:p>
            <w:pPr>
              <w:snapToGrid w:val="0"/>
              <w:spacing w:line="500" w:lineRule="exact"/>
              <w:jc w:val="center"/>
              <w:rPr>
                <w:rFonts w:hint="eastAsia" w:ascii="宋体" w:hAnsi="宋体"/>
                <w:sz w:val="21"/>
                <w:szCs w:val="21"/>
              </w:rPr>
            </w:pPr>
          </w:p>
        </w:tc>
        <w:tc>
          <w:tcPr>
            <w:tcW w:w="1276" w:type="dxa"/>
            <w:vMerge w:val="continue"/>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QB/T 1224</w:t>
            </w:r>
          </w:p>
        </w:tc>
        <w:tc>
          <w:tcPr>
            <w:tcW w:w="644" w:type="dxa"/>
            <w:noWrap w:val="0"/>
            <w:vAlign w:val="center"/>
          </w:tcPr>
          <w:p>
            <w:pPr>
              <w:snapToGrid w:val="0"/>
              <w:spacing w:line="320" w:lineRule="exact"/>
              <w:jc w:val="center"/>
              <w:rPr>
                <w:rFonts w:ascii="宋体" w:hAnsi="宋体"/>
                <w:color w:val="000000"/>
                <w:sz w:val="21"/>
                <w:szCs w:val="21"/>
              </w:rPr>
            </w:pPr>
          </w:p>
        </w:tc>
        <w:tc>
          <w:tcPr>
            <w:tcW w:w="640" w:type="dxa"/>
            <w:noWrap w:val="0"/>
            <w:vAlign w:val="center"/>
          </w:tcPr>
          <w:p>
            <w:pPr>
              <w:snapToGrid w:val="0"/>
              <w:spacing w:line="320" w:lineRule="exact"/>
              <w:jc w:val="center"/>
              <w:rPr>
                <w:rFonts w:ascii="宋体" w:hAnsi="宋体"/>
                <w:color w:val="000000"/>
                <w:sz w:val="21"/>
                <w:szCs w:val="21"/>
              </w:rPr>
            </w:pP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3</w:t>
            </w:r>
          </w:p>
        </w:tc>
        <w:tc>
          <w:tcPr>
            <w:tcW w:w="2258" w:type="dxa"/>
            <w:noWrap w:val="0"/>
            <w:vAlign w:val="center"/>
          </w:tcPr>
          <w:p>
            <w:pPr>
              <w:snapToGrid w:val="0"/>
              <w:spacing w:line="500" w:lineRule="exact"/>
              <w:rPr>
                <w:rFonts w:hint="eastAsia" w:ascii="宋体" w:hAnsi="宋体"/>
                <w:sz w:val="21"/>
                <w:szCs w:val="21"/>
              </w:rPr>
            </w:pPr>
            <w:r>
              <w:rPr>
                <w:rFonts w:hint="eastAsia" w:ascii="宋体" w:hAnsi="宋体"/>
                <w:sz w:val="21"/>
                <w:szCs w:val="21"/>
              </w:rPr>
              <w:t>总活性物</w:t>
            </w:r>
          </w:p>
        </w:tc>
        <w:tc>
          <w:tcPr>
            <w:tcW w:w="1701" w:type="dxa"/>
            <w:vMerge w:val="continue"/>
            <w:noWrap w:val="0"/>
            <w:vAlign w:val="center"/>
          </w:tcPr>
          <w:p>
            <w:pPr>
              <w:snapToGrid w:val="0"/>
              <w:spacing w:line="500" w:lineRule="exact"/>
              <w:jc w:val="center"/>
              <w:rPr>
                <w:rFonts w:hint="eastAsia" w:ascii="宋体" w:hAnsi="宋体"/>
                <w:sz w:val="21"/>
                <w:szCs w:val="21"/>
              </w:rPr>
            </w:pPr>
          </w:p>
        </w:tc>
        <w:tc>
          <w:tcPr>
            <w:tcW w:w="1276" w:type="dxa"/>
            <w:vMerge w:val="continue"/>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13173</w:t>
            </w:r>
          </w:p>
        </w:tc>
        <w:tc>
          <w:tcPr>
            <w:tcW w:w="644" w:type="dxa"/>
            <w:noWrap w:val="0"/>
            <w:vAlign w:val="center"/>
          </w:tcPr>
          <w:p>
            <w:pPr>
              <w:spacing w:line="320" w:lineRule="exact"/>
              <w:jc w:val="center"/>
              <w:rPr>
                <w:rFonts w:ascii="宋体" w:hAnsi="宋体"/>
                <w:sz w:val="21"/>
                <w:szCs w:val="21"/>
              </w:rPr>
            </w:pPr>
          </w:p>
        </w:tc>
        <w:tc>
          <w:tcPr>
            <w:tcW w:w="640" w:type="dxa"/>
            <w:noWrap w:val="0"/>
            <w:vAlign w:val="center"/>
          </w:tcPr>
          <w:p>
            <w:pPr>
              <w:spacing w:line="320" w:lineRule="exact"/>
              <w:jc w:val="center"/>
              <w:rPr>
                <w:rFonts w:ascii="宋体" w:hAnsi="宋体"/>
                <w:sz w:val="21"/>
                <w:szCs w:val="21"/>
              </w:rPr>
            </w:pPr>
            <w:r>
              <w:rPr>
                <w:rFonts w:hint="eastAsia" w:ascii="宋体" w:hAnsi="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4</w:t>
            </w:r>
          </w:p>
        </w:tc>
        <w:tc>
          <w:tcPr>
            <w:tcW w:w="2258" w:type="dxa"/>
            <w:noWrap w:val="0"/>
            <w:vAlign w:val="center"/>
          </w:tcPr>
          <w:p>
            <w:pPr>
              <w:snapToGrid w:val="0"/>
              <w:spacing w:line="500" w:lineRule="exact"/>
              <w:rPr>
                <w:rFonts w:hint="eastAsia" w:ascii="宋体" w:hAnsi="宋体"/>
                <w:sz w:val="21"/>
                <w:szCs w:val="21"/>
              </w:rPr>
            </w:pPr>
            <w:r>
              <w:rPr>
                <w:rFonts w:hint="eastAsia" w:ascii="宋体" w:hAnsi="宋体"/>
                <w:sz w:val="21"/>
                <w:szCs w:val="21"/>
              </w:rPr>
              <w:t>pH值</w:t>
            </w:r>
            <w:r>
              <w:rPr>
                <w:rFonts w:hint="eastAsia" w:ascii="宋体" w:hAnsi="宋体" w:cs="宋体"/>
                <w:kern w:val="2"/>
                <w:sz w:val="21"/>
                <w:szCs w:val="21"/>
              </w:rPr>
              <w:t>（25℃，0.1%溶液）</w:t>
            </w:r>
          </w:p>
        </w:tc>
        <w:tc>
          <w:tcPr>
            <w:tcW w:w="1701" w:type="dxa"/>
            <w:vMerge w:val="continue"/>
            <w:noWrap w:val="0"/>
            <w:vAlign w:val="center"/>
          </w:tcPr>
          <w:p>
            <w:pPr>
              <w:snapToGrid w:val="0"/>
              <w:spacing w:line="500" w:lineRule="exact"/>
              <w:jc w:val="center"/>
              <w:rPr>
                <w:rFonts w:hint="eastAsia" w:ascii="宋体" w:hAnsi="宋体"/>
                <w:sz w:val="21"/>
                <w:szCs w:val="21"/>
              </w:rPr>
            </w:pPr>
          </w:p>
        </w:tc>
        <w:tc>
          <w:tcPr>
            <w:tcW w:w="1276" w:type="dxa"/>
            <w:vMerge w:val="continue"/>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6368</w:t>
            </w:r>
          </w:p>
        </w:tc>
        <w:tc>
          <w:tcPr>
            <w:tcW w:w="644" w:type="dxa"/>
            <w:noWrap w:val="0"/>
            <w:vAlign w:val="center"/>
          </w:tcPr>
          <w:p>
            <w:pPr>
              <w:spacing w:line="320" w:lineRule="exact"/>
              <w:jc w:val="center"/>
              <w:rPr>
                <w:rFonts w:ascii="宋体" w:hAnsi="宋体"/>
                <w:sz w:val="21"/>
                <w:szCs w:val="21"/>
              </w:rPr>
            </w:pPr>
            <w:r>
              <w:rPr>
                <w:rFonts w:hint="eastAsia" w:ascii="宋体" w:hAnsi="宋体"/>
                <w:sz w:val="21"/>
                <w:szCs w:val="21"/>
              </w:rPr>
              <w:t>●</w:t>
            </w:r>
          </w:p>
        </w:tc>
        <w:tc>
          <w:tcPr>
            <w:tcW w:w="640" w:type="dxa"/>
            <w:noWrap w:val="0"/>
            <w:vAlign w:val="top"/>
          </w:tcPr>
          <w:p>
            <w:pPr>
              <w:spacing w:line="320" w:lineRule="exact"/>
              <w:jc w:val="center"/>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5</w:t>
            </w:r>
          </w:p>
        </w:tc>
        <w:tc>
          <w:tcPr>
            <w:tcW w:w="2258" w:type="dxa"/>
            <w:noWrap w:val="0"/>
            <w:vAlign w:val="center"/>
          </w:tcPr>
          <w:p>
            <w:pPr>
              <w:snapToGrid w:val="0"/>
              <w:spacing w:line="500" w:lineRule="exact"/>
              <w:rPr>
                <w:rFonts w:hint="eastAsia" w:ascii="宋体" w:hAnsi="宋体"/>
                <w:sz w:val="21"/>
                <w:szCs w:val="21"/>
              </w:rPr>
            </w:pPr>
            <w:r>
              <w:rPr>
                <w:rFonts w:hint="eastAsia" w:ascii="宋体" w:hAnsi="宋体"/>
                <w:sz w:val="21"/>
                <w:szCs w:val="21"/>
              </w:rPr>
              <w:t>总五氧化二磷</w:t>
            </w:r>
          </w:p>
        </w:tc>
        <w:tc>
          <w:tcPr>
            <w:tcW w:w="1701" w:type="dxa"/>
            <w:vMerge w:val="continue"/>
            <w:noWrap w:val="0"/>
            <w:vAlign w:val="center"/>
          </w:tcPr>
          <w:p>
            <w:pPr>
              <w:snapToGrid w:val="0"/>
              <w:spacing w:line="500" w:lineRule="exact"/>
              <w:jc w:val="center"/>
              <w:rPr>
                <w:rFonts w:hint="eastAsia" w:ascii="宋体" w:hAnsi="宋体"/>
                <w:sz w:val="21"/>
                <w:szCs w:val="21"/>
              </w:rPr>
            </w:pPr>
          </w:p>
        </w:tc>
        <w:tc>
          <w:tcPr>
            <w:tcW w:w="1276" w:type="dxa"/>
            <w:vMerge w:val="continue"/>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13173</w:t>
            </w:r>
          </w:p>
        </w:tc>
        <w:tc>
          <w:tcPr>
            <w:tcW w:w="644" w:type="dxa"/>
            <w:noWrap w:val="0"/>
            <w:vAlign w:val="center"/>
          </w:tcPr>
          <w:p>
            <w:pPr>
              <w:spacing w:line="320" w:lineRule="exact"/>
              <w:jc w:val="center"/>
              <w:rPr>
                <w:rFonts w:ascii="宋体" w:hAnsi="宋体"/>
                <w:sz w:val="21"/>
                <w:szCs w:val="21"/>
              </w:rPr>
            </w:pPr>
            <w:r>
              <w:rPr>
                <w:rFonts w:hint="eastAsia" w:ascii="宋体" w:hAnsi="宋体"/>
                <w:sz w:val="21"/>
                <w:szCs w:val="21"/>
              </w:rPr>
              <w:t>●</w:t>
            </w:r>
          </w:p>
        </w:tc>
        <w:tc>
          <w:tcPr>
            <w:tcW w:w="640" w:type="dxa"/>
            <w:noWrap w:val="0"/>
            <w:vAlign w:val="center"/>
          </w:tcPr>
          <w:p>
            <w:pPr>
              <w:spacing w:line="320" w:lineRule="exact"/>
              <w:jc w:val="center"/>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65" w:type="dxa"/>
            <w:noWrap w:val="0"/>
            <w:vAlign w:val="center"/>
          </w:tcPr>
          <w:p>
            <w:pPr>
              <w:snapToGrid w:val="0"/>
              <w:spacing w:line="320" w:lineRule="exact"/>
              <w:jc w:val="center"/>
              <w:rPr>
                <w:rFonts w:ascii="宋体" w:hAnsi="宋体"/>
                <w:color w:val="000000"/>
                <w:sz w:val="21"/>
                <w:szCs w:val="21"/>
              </w:rPr>
            </w:pPr>
            <w:r>
              <w:rPr>
                <w:rFonts w:ascii="宋体" w:hAnsi="宋体"/>
                <w:color w:val="000000"/>
                <w:sz w:val="21"/>
                <w:szCs w:val="21"/>
              </w:rPr>
              <w:t>6</w:t>
            </w:r>
          </w:p>
        </w:tc>
        <w:tc>
          <w:tcPr>
            <w:tcW w:w="2258" w:type="dxa"/>
            <w:noWrap w:val="0"/>
            <w:vAlign w:val="center"/>
          </w:tcPr>
          <w:p>
            <w:pPr>
              <w:snapToGrid w:val="0"/>
              <w:spacing w:line="500" w:lineRule="exact"/>
              <w:rPr>
                <w:rFonts w:hint="eastAsia" w:ascii="宋体" w:hAnsi="宋体"/>
                <w:sz w:val="21"/>
                <w:szCs w:val="21"/>
              </w:rPr>
            </w:pPr>
            <w:r>
              <w:rPr>
                <w:rFonts w:hint="eastAsia" w:ascii="宋体" w:hAnsi="宋体"/>
                <w:sz w:val="21"/>
                <w:szCs w:val="21"/>
              </w:rPr>
              <w:t>规定污布的去污力</w:t>
            </w:r>
          </w:p>
        </w:tc>
        <w:tc>
          <w:tcPr>
            <w:tcW w:w="1701" w:type="dxa"/>
            <w:vMerge w:val="continue"/>
            <w:noWrap w:val="0"/>
            <w:vAlign w:val="center"/>
          </w:tcPr>
          <w:p>
            <w:pPr>
              <w:snapToGrid w:val="0"/>
              <w:spacing w:line="500" w:lineRule="exact"/>
              <w:jc w:val="center"/>
              <w:rPr>
                <w:rFonts w:hint="eastAsia" w:ascii="宋体" w:hAnsi="宋体"/>
                <w:sz w:val="21"/>
                <w:szCs w:val="21"/>
              </w:rPr>
            </w:pPr>
          </w:p>
        </w:tc>
        <w:tc>
          <w:tcPr>
            <w:tcW w:w="1276" w:type="dxa"/>
            <w:vMerge w:val="continue"/>
            <w:noWrap w:val="0"/>
            <w:vAlign w:val="center"/>
          </w:tcPr>
          <w:p>
            <w:pPr>
              <w:snapToGrid w:val="0"/>
              <w:spacing w:line="500" w:lineRule="exact"/>
              <w:jc w:val="center"/>
              <w:rPr>
                <w:rFonts w:hint="eastAsia" w:ascii="宋体" w:hAnsi="宋体"/>
                <w:sz w:val="21"/>
                <w:szCs w:val="21"/>
              </w:rPr>
            </w:pPr>
          </w:p>
        </w:tc>
        <w:tc>
          <w:tcPr>
            <w:tcW w:w="1834" w:type="dxa"/>
            <w:noWrap w:val="0"/>
            <w:vAlign w:val="center"/>
          </w:tcPr>
          <w:p>
            <w:pPr>
              <w:snapToGrid w:val="0"/>
              <w:spacing w:line="500" w:lineRule="exact"/>
              <w:jc w:val="center"/>
              <w:rPr>
                <w:rFonts w:hint="eastAsia" w:ascii="宋体" w:hAnsi="宋体"/>
                <w:sz w:val="21"/>
                <w:szCs w:val="21"/>
              </w:rPr>
            </w:pPr>
            <w:r>
              <w:rPr>
                <w:rFonts w:hint="eastAsia" w:ascii="宋体" w:hAnsi="宋体"/>
                <w:sz w:val="21"/>
                <w:szCs w:val="21"/>
              </w:rPr>
              <w:t>GB/T 13174</w:t>
            </w:r>
          </w:p>
        </w:tc>
        <w:tc>
          <w:tcPr>
            <w:tcW w:w="644" w:type="dxa"/>
            <w:noWrap w:val="0"/>
            <w:vAlign w:val="center"/>
          </w:tcPr>
          <w:p>
            <w:pPr>
              <w:spacing w:line="320" w:lineRule="exact"/>
              <w:jc w:val="center"/>
              <w:rPr>
                <w:rFonts w:ascii="宋体" w:hAnsi="宋体"/>
                <w:sz w:val="21"/>
                <w:szCs w:val="21"/>
              </w:rPr>
            </w:pPr>
            <w:r>
              <w:rPr>
                <w:rFonts w:hint="eastAsia" w:ascii="宋体" w:hAnsi="宋体"/>
                <w:sz w:val="21"/>
                <w:szCs w:val="21"/>
              </w:rPr>
              <w:t>●</w:t>
            </w:r>
          </w:p>
        </w:tc>
        <w:tc>
          <w:tcPr>
            <w:tcW w:w="640" w:type="dxa"/>
            <w:noWrap w:val="0"/>
            <w:vAlign w:val="center"/>
          </w:tcPr>
          <w:p>
            <w:pPr>
              <w:snapToGrid w:val="0"/>
              <w:spacing w:line="320" w:lineRule="exact"/>
              <w:jc w:val="center"/>
              <w:rPr>
                <w:rFonts w:ascii="宋体" w:hAnsi="宋体"/>
                <w:color w:val="000000"/>
                <w:sz w:val="21"/>
                <w:szCs w:val="21"/>
              </w:rPr>
            </w:pPr>
          </w:p>
        </w:tc>
      </w:tr>
    </w:tbl>
    <w:p>
      <w:pPr>
        <w:spacing w:line="360" w:lineRule="auto"/>
        <w:ind w:firstLine="464" w:firstLineChars="221"/>
        <w:rPr>
          <w:rFonts w:hint="eastAsia" w:ascii="宋体" w:hAnsi="宋体"/>
          <w:bCs/>
          <w:sz w:val="21"/>
          <w:szCs w:val="21"/>
        </w:rPr>
      </w:pPr>
      <w:r>
        <w:rPr>
          <w:rFonts w:hint="eastAsia" w:ascii="宋体" w:hAnsi="宋体"/>
          <w:bCs/>
          <w:sz w:val="21"/>
          <w:szCs w:val="21"/>
        </w:rPr>
        <w:t>注：</w:t>
      </w:r>
      <w:r>
        <w:rPr>
          <w:rFonts w:ascii="宋体" w:hAnsi="宋体"/>
          <w:bCs/>
          <w:sz w:val="21"/>
          <w:szCs w:val="21"/>
        </w:rPr>
        <w:t xml:space="preserve"> A</w:t>
      </w:r>
      <w:r>
        <w:rPr>
          <w:rFonts w:hint="eastAsia" w:ascii="宋体" w:hAnsi="宋体"/>
          <w:bCs/>
          <w:sz w:val="21"/>
          <w:szCs w:val="21"/>
        </w:rPr>
        <w:t>类</w:t>
      </w:r>
      <w:r>
        <w:rPr>
          <w:rFonts w:ascii="宋体" w:hAnsi="宋体"/>
          <w:bCs/>
          <w:sz w:val="21"/>
          <w:szCs w:val="21"/>
        </w:rPr>
        <w:t>——</w:t>
      </w:r>
      <w:r>
        <w:rPr>
          <w:rFonts w:hint="eastAsia" w:ascii="宋体" w:hAnsi="宋体"/>
          <w:bCs/>
          <w:sz w:val="21"/>
          <w:szCs w:val="21"/>
        </w:rPr>
        <w:t>极重要质量项目，</w:t>
      </w:r>
      <w:r>
        <w:rPr>
          <w:rFonts w:ascii="宋体" w:hAnsi="宋体"/>
          <w:bCs/>
          <w:sz w:val="21"/>
          <w:szCs w:val="21"/>
        </w:rPr>
        <w:t>B</w:t>
      </w:r>
      <w:r>
        <w:rPr>
          <w:rFonts w:hint="eastAsia" w:ascii="宋体" w:hAnsi="宋体"/>
          <w:bCs/>
          <w:sz w:val="21"/>
          <w:szCs w:val="21"/>
        </w:rPr>
        <w:t>类</w:t>
      </w:r>
      <w:r>
        <w:rPr>
          <w:rFonts w:ascii="宋体" w:hAnsi="宋体"/>
          <w:bCs/>
          <w:sz w:val="21"/>
          <w:szCs w:val="21"/>
        </w:rPr>
        <w:t>——</w:t>
      </w:r>
      <w:r>
        <w:rPr>
          <w:rFonts w:hint="eastAsia" w:ascii="宋体" w:hAnsi="宋体"/>
          <w:bCs/>
          <w:sz w:val="21"/>
          <w:szCs w:val="21"/>
        </w:rPr>
        <w:t>重要质量项目。</w:t>
      </w:r>
    </w:p>
    <w:p>
      <w:pPr>
        <w:spacing w:line="360" w:lineRule="auto"/>
        <w:rPr>
          <w:sz w:val="21"/>
          <w:szCs w:val="21"/>
        </w:rPr>
      </w:pPr>
      <w:r>
        <w:rPr>
          <w:rFonts w:hint="eastAsia"/>
          <w:spacing w:val="-3"/>
          <w:sz w:val="21"/>
          <w:szCs w:val="21"/>
          <w:lang w:val="en-US" w:eastAsia="zh-CN"/>
        </w:rPr>
        <w:t xml:space="preserve">6.2 </w:t>
      </w:r>
      <w:r>
        <w:rPr>
          <w:spacing w:val="-3"/>
          <w:sz w:val="21"/>
          <w:szCs w:val="21"/>
        </w:rPr>
        <w:t>检验应注意的问题</w:t>
      </w:r>
    </w:p>
    <w:p>
      <w:pPr>
        <w:spacing w:line="360" w:lineRule="auto"/>
        <w:ind w:firstLine="464" w:firstLineChars="221"/>
        <w:rPr>
          <w:rFonts w:hint="eastAsia" w:ascii="宋体" w:hAnsi="宋体"/>
          <w:bCs/>
          <w:sz w:val="21"/>
          <w:szCs w:val="21"/>
        </w:rPr>
      </w:pPr>
      <w:r>
        <w:rPr>
          <w:rFonts w:hint="eastAsia" w:ascii="宋体" w:hAnsi="宋体"/>
          <w:szCs w:val="21"/>
        </w:rPr>
        <w:t>若被检产品明示的质量要求高于本细则中检验项目依据的</w:t>
      </w:r>
      <w:r>
        <w:rPr>
          <w:rFonts w:hint="eastAsia"/>
          <w:szCs w:val="21"/>
          <w:lang w:eastAsia="zh-CN"/>
        </w:rPr>
        <w:t>推荐性和行业</w:t>
      </w:r>
      <w:r>
        <w:rPr>
          <w:rFonts w:hint="eastAsia" w:ascii="宋体" w:hAnsi="宋体"/>
          <w:szCs w:val="21"/>
        </w:rPr>
        <w:t>标准要求时，应按被检产品明示的质量要求判定；若被检产品明示的质量要求低于或包含细则中检验项目依据的推荐性</w:t>
      </w:r>
      <w:r>
        <w:rPr>
          <w:rFonts w:hint="eastAsia"/>
          <w:szCs w:val="21"/>
          <w:lang w:eastAsia="zh-CN"/>
        </w:rPr>
        <w:t>和行业</w:t>
      </w:r>
      <w:r>
        <w:rPr>
          <w:rFonts w:hint="eastAsia" w:ascii="宋体" w:hAnsi="宋体"/>
          <w:szCs w:val="21"/>
        </w:rPr>
        <w:t>标准要求时，应以被检产品明示的质量要求判定；若被检产品明示的质量要求缺少本细则中检验项目依据的推荐性</w:t>
      </w:r>
      <w:r>
        <w:rPr>
          <w:rFonts w:hint="eastAsia"/>
          <w:szCs w:val="21"/>
          <w:lang w:eastAsia="zh-CN"/>
        </w:rPr>
        <w:t>和行业</w:t>
      </w:r>
      <w:r>
        <w:rPr>
          <w:rFonts w:hint="eastAsia" w:ascii="宋体" w:hAnsi="宋体"/>
          <w:szCs w:val="21"/>
        </w:rPr>
        <w:t>标准要求时，该项目不参与判定，但应在检验报告备注中进行说明。</w:t>
      </w:r>
    </w:p>
    <w:p>
      <w:pPr>
        <w:spacing w:line="360" w:lineRule="auto"/>
        <w:rPr>
          <w:rFonts w:hint="eastAsia" w:ascii="黑体" w:hAnsi="黑体" w:eastAsia="黑体" w:cs="黑体"/>
          <w:b w:val="0"/>
          <w:bCs/>
          <w:sz w:val="21"/>
          <w:szCs w:val="21"/>
        </w:rPr>
      </w:pPr>
      <w:r>
        <w:rPr>
          <w:rFonts w:hint="eastAsia" w:ascii="黑体" w:hAnsi="黑体" w:eastAsia="黑体" w:cs="黑体"/>
          <w:b w:val="0"/>
          <w:bCs/>
          <w:sz w:val="21"/>
          <w:szCs w:val="21"/>
          <w:lang w:val="en-US" w:eastAsia="zh-CN"/>
        </w:rPr>
        <w:t xml:space="preserve">7  </w:t>
      </w:r>
      <w:r>
        <w:rPr>
          <w:rFonts w:hint="eastAsia" w:ascii="黑体" w:hAnsi="黑体" w:eastAsia="黑体" w:cs="黑体"/>
          <w:b w:val="0"/>
          <w:bCs/>
          <w:sz w:val="21"/>
          <w:szCs w:val="21"/>
        </w:rPr>
        <w:t>判定原则</w:t>
      </w:r>
    </w:p>
    <w:p>
      <w:pPr>
        <w:spacing w:line="360" w:lineRule="auto"/>
        <w:rPr>
          <w:rFonts w:hint="eastAsia" w:ascii="宋体" w:hAnsi="宋体"/>
          <w:bCs/>
          <w:sz w:val="21"/>
          <w:szCs w:val="21"/>
        </w:rPr>
      </w:pPr>
      <w:r>
        <w:rPr>
          <w:rFonts w:hint="eastAsia" w:ascii="宋体" w:hAnsi="宋体"/>
          <w:bCs/>
          <w:sz w:val="21"/>
          <w:szCs w:val="21"/>
          <w:lang w:val="en-US" w:eastAsia="zh-CN"/>
        </w:rPr>
        <w:t xml:space="preserve">7.1 </w:t>
      </w:r>
      <w:r>
        <w:rPr>
          <w:rFonts w:hint="eastAsia" w:ascii="宋体" w:hAnsi="宋体"/>
          <w:bCs/>
          <w:sz w:val="21"/>
          <w:szCs w:val="21"/>
        </w:rPr>
        <w:t>经检验，检验项目全部合格，判定为被抽查产品检验项目合格；检验项目中任一项或一项以上不合格，判定为被抽查产品不合格。</w:t>
      </w:r>
    </w:p>
    <w:p>
      <w:pPr>
        <w:spacing w:line="360" w:lineRule="auto"/>
        <w:rPr>
          <w:rFonts w:ascii="宋体" w:hAnsi="宋体"/>
          <w:bCs/>
          <w:sz w:val="21"/>
          <w:szCs w:val="21"/>
        </w:rPr>
      </w:pPr>
      <w:r>
        <w:rPr>
          <w:rFonts w:hint="eastAsia" w:ascii="宋体" w:hAnsi="宋体"/>
          <w:bCs/>
          <w:sz w:val="21"/>
          <w:szCs w:val="21"/>
          <w:lang w:val="en-US" w:eastAsia="zh-CN"/>
        </w:rPr>
        <w:t xml:space="preserve">7.2 </w:t>
      </w:r>
      <w:r>
        <w:rPr>
          <w:rFonts w:hint="eastAsia" w:ascii="宋体" w:hAnsi="宋体"/>
          <w:bCs/>
          <w:sz w:val="21"/>
          <w:szCs w:val="21"/>
        </w:rPr>
        <w:t>当产品存在A类项目不合格时，属于严重不合格；当产品仅有B类项目不合格时，属于一般不合格。</w:t>
      </w:r>
    </w:p>
    <w:p>
      <w:pPr>
        <w:snapToGrid w:val="0"/>
        <w:spacing w:line="440" w:lineRule="exact"/>
        <w:rPr>
          <w:rFonts w:ascii="黑体" w:hAnsi="黑体" w:eastAsia="黑体" w:cs="Sim Sun"/>
          <w:b w:val="0"/>
          <w:bCs w:val="0"/>
          <w:kern w:val="0"/>
          <w:szCs w:val="21"/>
        </w:rPr>
      </w:pPr>
      <w:r>
        <w:rPr>
          <w:rFonts w:hint="eastAsia" w:ascii="黑体" w:hAnsi="黑体" w:eastAsia="黑体" w:cs="Sim Sun"/>
          <w:b w:val="0"/>
          <w:bCs w:val="0"/>
          <w:kern w:val="0"/>
          <w:szCs w:val="21"/>
          <w:lang w:val="en-US" w:eastAsia="zh-CN"/>
        </w:rPr>
        <w:t>8</w:t>
      </w:r>
      <w:r>
        <w:rPr>
          <w:rFonts w:hint="eastAsia" w:ascii="黑体" w:hAnsi="黑体" w:eastAsia="黑体" w:cs="Sim Sun"/>
          <w:b w:val="0"/>
          <w:bCs w:val="0"/>
          <w:kern w:val="0"/>
          <w:szCs w:val="21"/>
        </w:rPr>
        <w:t>异议处理</w:t>
      </w:r>
    </w:p>
    <w:p>
      <w:pPr>
        <w:pStyle w:val="4"/>
        <w:snapToGrid w:val="0"/>
        <w:spacing w:line="440" w:lineRule="exact"/>
        <w:rPr>
          <w:rFonts w:hint="eastAsia" w:ascii="黑体" w:hAnsi="黑体" w:eastAsia="黑体"/>
          <w:b w:val="0"/>
          <w:bCs/>
          <w:color w:val="000000"/>
          <w:szCs w:val="21"/>
        </w:rPr>
      </w:pPr>
      <w:r>
        <w:rPr>
          <w:rFonts w:hint="eastAsia" w:ascii="黑体" w:hAnsi="黑体" w:eastAsia="黑体"/>
          <w:b w:val="0"/>
          <w:bCs/>
          <w:color w:val="000000"/>
          <w:szCs w:val="21"/>
          <w:lang w:val="en-US" w:eastAsia="zh-CN"/>
        </w:rPr>
        <w:t>8</w:t>
      </w:r>
      <w:r>
        <w:rPr>
          <w:rFonts w:hint="eastAsia" w:ascii="黑体" w:hAnsi="黑体" w:eastAsia="黑体"/>
          <w:b w:val="0"/>
          <w:bCs/>
          <w:color w:val="000000"/>
          <w:szCs w:val="21"/>
        </w:rPr>
        <w:t>.1复查</w:t>
      </w:r>
    </w:p>
    <w:p>
      <w:pPr>
        <w:pStyle w:val="4"/>
        <w:snapToGrid w:val="0"/>
        <w:spacing w:line="440" w:lineRule="exact"/>
        <w:ind w:firstLine="420" w:firstLineChars="200"/>
        <w:rPr>
          <w:rFonts w:hint="eastAsia" w:hAnsi="宋体"/>
          <w:color w:val="000000"/>
          <w:szCs w:val="21"/>
        </w:rPr>
      </w:pPr>
      <w:r>
        <w:rPr>
          <w:rFonts w:hint="eastAsia" w:hAnsi="宋体"/>
          <w:color w:val="000000"/>
          <w:szCs w:val="21"/>
        </w:rPr>
        <w:t>被抽样生产者、销售者对抽样过程、样品真实性等有异议的，收到异议处理申请的昆明市市场监督管理局组织异议处理，并将处理结论书面告知申请人。</w:t>
      </w:r>
    </w:p>
    <w:p>
      <w:pPr>
        <w:pStyle w:val="4"/>
        <w:snapToGrid w:val="0"/>
        <w:spacing w:line="440" w:lineRule="exact"/>
        <w:rPr>
          <w:rFonts w:hint="eastAsia" w:hAnsi="宋体"/>
          <w:b w:val="0"/>
          <w:bCs/>
          <w:color w:val="000000"/>
          <w:szCs w:val="21"/>
        </w:rPr>
      </w:pPr>
      <w:r>
        <w:rPr>
          <w:rFonts w:hint="eastAsia" w:ascii="黑体" w:hAnsi="黑体" w:eastAsia="黑体"/>
          <w:b w:val="0"/>
          <w:bCs/>
          <w:color w:val="000000"/>
          <w:szCs w:val="21"/>
          <w:lang w:val="en-US" w:eastAsia="zh-CN"/>
        </w:rPr>
        <w:t>8</w:t>
      </w:r>
      <w:r>
        <w:rPr>
          <w:rFonts w:hint="eastAsia" w:ascii="黑体" w:hAnsi="黑体" w:eastAsia="黑体"/>
          <w:b w:val="0"/>
          <w:bCs/>
          <w:color w:val="000000"/>
          <w:szCs w:val="21"/>
        </w:rPr>
        <w:t>.2复检</w:t>
      </w:r>
    </w:p>
    <w:p>
      <w:pPr>
        <w:pStyle w:val="4"/>
        <w:snapToGrid w:val="0"/>
        <w:spacing w:line="440" w:lineRule="exact"/>
        <w:rPr>
          <w:rFonts w:hAnsi="宋体"/>
          <w:color w:val="000000"/>
          <w:szCs w:val="21"/>
        </w:rPr>
      </w:pPr>
      <w:r>
        <w:rPr>
          <w:rFonts w:hint="eastAsia" w:hAnsi="宋体"/>
          <w:color w:val="000000"/>
          <w:szCs w:val="21"/>
          <w:lang w:val="en-US" w:eastAsia="zh-CN"/>
        </w:rPr>
        <w:t>8</w:t>
      </w:r>
      <w:r>
        <w:rPr>
          <w:rFonts w:hint="eastAsia" w:hAnsi="宋体"/>
          <w:color w:val="000000"/>
          <w:szCs w:val="21"/>
        </w:rPr>
        <w:t>.2.1被抽样生产者、销售者对检验结论有异议的，应当自收到检验结论书面告知之日起十五日内向昆明市市场监督管理局提出书面异议处理申请，并提交相关材料。</w:t>
      </w:r>
    </w:p>
    <w:p>
      <w:pPr>
        <w:pStyle w:val="4"/>
        <w:snapToGrid w:val="0"/>
        <w:spacing w:line="440" w:lineRule="exact"/>
        <w:rPr>
          <w:rFonts w:hint="eastAsia" w:hAnsi="宋体"/>
          <w:szCs w:val="21"/>
        </w:rPr>
      </w:pPr>
      <w:r>
        <w:rPr>
          <w:rFonts w:hint="eastAsia" w:hAnsi="宋体"/>
          <w:color w:val="000000"/>
          <w:szCs w:val="21"/>
          <w:lang w:val="en-US" w:eastAsia="zh-CN"/>
        </w:rPr>
        <w:t>8</w:t>
      </w:r>
      <w:r>
        <w:rPr>
          <w:rFonts w:hint="eastAsia" w:hAnsi="宋体"/>
          <w:color w:val="000000"/>
          <w:szCs w:val="21"/>
        </w:rPr>
        <w:t>.2.2</w:t>
      </w:r>
      <w:r>
        <w:rPr>
          <w:rFonts w:hint="eastAsia" w:hAnsi="宋体"/>
          <w:szCs w:val="21"/>
        </w:rPr>
        <w:t>被抽样生产者、销售者对检验结论有异议，提出书面复检申请并阐明理由的，收到异议处理申请经昆明市市场监督管理局组织研究。对需要复检并具备检验条件的，组织复检。</w:t>
      </w:r>
    </w:p>
    <w:p>
      <w:pPr>
        <w:pStyle w:val="4"/>
        <w:snapToGrid w:val="0"/>
        <w:spacing w:line="440" w:lineRule="exact"/>
        <w:rPr>
          <w:rFonts w:hint="eastAsia" w:hAnsi="宋体"/>
          <w:szCs w:val="21"/>
        </w:rPr>
      </w:pPr>
      <w:r>
        <w:rPr>
          <w:rFonts w:hint="eastAsia" w:hAnsi="宋体"/>
          <w:szCs w:val="21"/>
          <w:lang w:val="en-US" w:eastAsia="zh-CN"/>
        </w:rPr>
        <w:t>8</w:t>
      </w:r>
      <w:r>
        <w:rPr>
          <w:rFonts w:hint="eastAsia" w:hAnsi="宋体"/>
          <w:szCs w:val="21"/>
        </w:rPr>
        <w:t>.2.3申请人应当自收到市场监督管理部门复检通知之日起七日内办理复检手续。逾期未办理的，视为放弃复检。</w:t>
      </w:r>
    </w:p>
    <w:p>
      <w:pPr>
        <w:pStyle w:val="4"/>
        <w:snapToGrid w:val="0"/>
        <w:spacing w:line="440" w:lineRule="exact"/>
        <w:rPr>
          <w:rFonts w:hint="eastAsia" w:hAnsi="宋体"/>
          <w:color w:val="000000"/>
          <w:szCs w:val="21"/>
        </w:rPr>
      </w:pPr>
      <w:r>
        <w:rPr>
          <w:rFonts w:hint="eastAsia" w:hAnsi="宋体"/>
          <w:color w:val="000000"/>
          <w:szCs w:val="21"/>
          <w:lang w:val="en-US" w:eastAsia="zh-CN"/>
        </w:rPr>
        <w:t>8</w:t>
      </w:r>
      <w:r>
        <w:rPr>
          <w:rFonts w:hint="eastAsia" w:hAnsi="宋体"/>
          <w:color w:val="000000"/>
          <w:szCs w:val="21"/>
        </w:rPr>
        <w:t>.2.4昆明市市场监督管理局自申请人办理复检手续之日起十日内确定具备相应资质的检验机构进行复检。</w:t>
      </w:r>
    </w:p>
    <w:p>
      <w:pPr>
        <w:pStyle w:val="4"/>
        <w:snapToGrid w:val="0"/>
        <w:spacing w:line="440" w:lineRule="exact"/>
        <w:rPr>
          <w:rFonts w:hint="eastAsia" w:hAnsi="宋体"/>
          <w:szCs w:val="21"/>
        </w:rPr>
      </w:pPr>
      <w:r>
        <w:rPr>
          <w:rFonts w:hint="eastAsia" w:hAnsi="宋体"/>
          <w:szCs w:val="21"/>
          <w:lang w:val="en-US" w:eastAsia="zh-CN"/>
        </w:rPr>
        <w:t>8</w:t>
      </w:r>
      <w:r>
        <w:rPr>
          <w:rFonts w:hint="eastAsia" w:hAnsi="宋体"/>
          <w:szCs w:val="21"/>
        </w:rPr>
        <w:t>.2.5被抽样生产者、销售者隐匿、转移、变卖、损毁备用样品的，应当终止复检，并以初检结论为最终结论。</w:t>
      </w:r>
    </w:p>
    <w:p>
      <w:pPr>
        <w:pStyle w:val="4"/>
        <w:snapToGrid w:val="0"/>
        <w:spacing w:line="440" w:lineRule="exact"/>
        <w:rPr>
          <w:rFonts w:hint="eastAsia" w:hAnsi="宋体"/>
          <w:szCs w:val="21"/>
        </w:rPr>
      </w:pPr>
      <w:r>
        <w:rPr>
          <w:rFonts w:hint="eastAsia" w:hAnsi="宋体"/>
          <w:szCs w:val="21"/>
          <w:lang w:val="en-US" w:eastAsia="zh-CN"/>
        </w:rPr>
        <w:t>8</w:t>
      </w:r>
      <w:r>
        <w:rPr>
          <w:rFonts w:hint="eastAsia" w:hAnsi="宋体"/>
          <w:szCs w:val="21"/>
        </w:rPr>
        <w:t>.2.6复检机构应当在规定时间内按照</w:t>
      </w:r>
      <w:r>
        <w:rPr>
          <w:rFonts w:hint="eastAsia" w:hAnsi="宋体"/>
          <w:color w:val="000000"/>
          <w:szCs w:val="21"/>
        </w:rPr>
        <w:t>监督抽查</w:t>
      </w:r>
      <w:r>
        <w:rPr>
          <w:rFonts w:hint="eastAsia" w:hAnsi="宋体"/>
          <w:szCs w:val="21"/>
        </w:rPr>
        <w:t>实施细则所规定的检验方法、判定规则等对与异议相关的检验项目进行复检，并将复检结论及时报送昆明市市场监督管理局，由昆明市市场监督管理局书面告知复检申请人。复检结论为最终结论。</w:t>
      </w:r>
    </w:p>
    <w:p>
      <w:pPr>
        <w:pStyle w:val="4"/>
        <w:snapToGrid w:val="0"/>
        <w:spacing w:line="440" w:lineRule="exact"/>
        <w:rPr>
          <w:rFonts w:hint="eastAsia" w:hAnsi="宋体"/>
          <w:szCs w:val="21"/>
        </w:rPr>
      </w:pPr>
      <w:r>
        <w:rPr>
          <w:rFonts w:hint="eastAsia" w:hAnsi="宋体"/>
          <w:szCs w:val="21"/>
          <w:lang w:val="en-US" w:eastAsia="zh-CN"/>
        </w:rPr>
        <w:t>8</w:t>
      </w:r>
      <w:r>
        <w:rPr>
          <w:rFonts w:hint="eastAsia" w:hAnsi="宋体"/>
          <w:szCs w:val="21"/>
        </w:rPr>
        <w:t>.2.7</w:t>
      </w:r>
      <w:r>
        <w:rPr>
          <w:rFonts w:hint="eastAsia"/>
          <w:color w:val="000000" w:themeColor="text1"/>
          <w14:textFill>
            <w14:solidFill>
              <w14:schemeClr w14:val="tx1"/>
            </w14:solidFill>
          </w14:textFill>
        </w:rPr>
        <w:t>复检费用由申请人向复检机构先行支付。复检结论与初检结论一致的，复检费用由申请人承担；与初检结论不一致的，复检费用由</w:t>
      </w:r>
      <w:r>
        <w:rPr>
          <w:rFonts w:hint="eastAsia"/>
          <w:color w:val="000000" w:themeColor="text1"/>
          <w:lang w:eastAsia="zh-CN"/>
          <w14:textFill>
            <w14:solidFill>
              <w14:schemeClr w14:val="tx1"/>
            </w14:solidFill>
          </w14:textFill>
        </w:rPr>
        <w:t>承担本次抽样检验的单位</w:t>
      </w:r>
      <w:r>
        <w:rPr>
          <w:rFonts w:hint="eastAsia"/>
          <w:color w:val="000000" w:themeColor="text1"/>
          <w14:textFill>
            <w14:solidFill>
              <w14:schemeClr w14:val="tx1"/>
            </w14:solidFill>
          </w14:textFill>
        </w:rPr>
        <w:t>承担。</w:t>
      </w:r>
    </w:p>
    <w:p>
      <w:pPr>
        <w:spacing w:after="0"/>
      </w:pPr>
    </w:p>
    <w:p>
      <w:pPr>
        <w:pStyle w:val="2"/>
        <w:numPr>
          <w:ilvl w:val="0"/>
          <w:numId w:val="0"/>
        </w:numPr>
        <w:tabs>
          <w:tab w:val="left" w:pos="526"/>
          <w:tab w:val="left" w:pos="527"/>
        </w:tabs>
        <w:spacing w:before="2" w:after="0" w:line="240" w:lineRule="auto"/>
        <w:ind w:right="0" w:rightChars="0"/>
        <w:jc w:val="left"/>
        <w:rPr>
          <w:rFonts w:hint="eastAsia" w:ascii="黑体" w:hAnsi="黑体" w:eastAsia="黑体" w:cs="黑体"/>
          <w:b w:val="0"/>
          <w:bCs w:val="0"/>
        </w:rPr>
      </w:pPr>
      <w:r>
        <w:rPr>
          <w:rFonts w:hint="eastAsia" w:ascii="黑体" w:hAnsi="黑体" w:eastAsia="黑体" w:cs="黑体"/>
          <w:b w:val="0"/>
          <w:bCs w:val="0"/>
          <w:lang w:val="en-US" w:eastAsia="zh-CN"/>
        </w:rPr>
        <w:t xml:space="preserve">9  </w:t>
      </w:r>
      <w:r>
        <w:rPr>
          <w:rFonts w:hint="eastAsia" w:ascii="黑体" w:hAnsi="黑体" w:eastAsia="黑体" w:cs="黑体"/>
          <w:b w:val="0"/>
          <w:bCs w:val="0"/>
        </w:rPr>
        <w:t>附则</w:t>
      </w:r>
    </w:p>
    <w:p>
      <w:pPr>
        <w:snapToGrid w:val="0"/>
        <w:spacing w:line="440" w:lineRule="exact"/>
        <w:ind w:left="420" w:hanging="420" w:hangingChars="200"/>
        <w:rPr>
          <w:rFonts w:ascii="宋体" w:hAnsi="宋体"/>
          <w:bCs/>
          <w:color w:val="000000"/>
          <w:szCs w:val="21"/>
        </w:rPr>
      </w:pPr>
      <w:r>
        <w:rPr>
          <w:rFonts w:hint="eastAsia" w:ascii="宋体" w:hAnsi="宋体"/>
          <w:bCs/>
          <w:color w:val="000000"/>
          <w:szCs w:val="21"/>
          <w:lang w:val="en-US" w:eastAsia="zh-CN"/>
        </w:rPr>
        <w:t>9.1</w:t>
      </w:r>
      <w:r>
        <w:rPr>
          <w:rFonts w:hint="eastAsia" w:ascii="宋体" w:hAnsi="宋体"/>
          <w:bCs/>
          <w:color w:val="000000"/>
          <w:szCs w:val="21"/>
        </w:rPr>
        <w:t>本细则由昆明市市场监督管理局</w:t>
      </w:r>
      <w:r>
        <w:rPr>
          <w:rFonts w:hint="eastAsia" w:ascii="宋体" w:hAnsi="宋体"/>
          <w:bCs/>
          <w:color w:val="000000"/>
          <w:szCs w:val="21"/>
          <w:lang w:eastAsia="zh-CN"/>
        </w:rPr>
        <w:t>制定</w:t>
      </w:r>
      <w:r>
        <w:rPr>
          <w:rFonts w:hint="eastAsia" w:ascii="宋体" w:hAnsi="宋体"/>
          <w:bCs/>
          <w:color w:val="000000"/>
          <w:szCs w:val="21"/>
        </w:rPr>
        <w:t>并负责解释。</w:t>
      </w:r>
    </w:p>
    <w:p>
      <w:pPr>
        <w:snapToGrid w:val="0"/>
        <w:spacing w:line="440" w:lineRule="exact"/>
        <w:ind w:left="420" w:hanging="420" w:hangingChars="200"/>
        <w:rPr>
          <w:rFonts w:ascii="宋体" w:hAnsi="宋体"/>
          <w:bCs/>
          <w:color w:val="000000"/>
          <w:szCs w:val="21"/>
          <w:highlight w:val="yellow"/>
        </w:rPr>
      </w:pPr>
      <w:r>
        <w:rPr>
          <w:rFonts w:hint="eastAsia" w:ascii="宋体" w:hAnsi="宋体"/>
          <w:bCs/>
          <w:color w:val="000000"/>
          <w:szCs w:val="21"/>
          <w:highlight w:val="none"/>
          <w:lang w:val="en-US" w:eastAsia="zh-CN"/>
        </w:rPr>
        <w:t>9.2</w:t>
      </w:r>
      <w:r>
        <w:rPr>
          <w:rFonts w:hint="eastAsia" w:ascii="宋体" w:hAnsi="宋体"/>
          <w:bCs/>
          <w:color w:val="000000"/>
          <w:szCs w:val="21"/>
          <w:highlight w:val="none"/>
        </w:rPr>
        <w:t xml:space="preserve"> 本细则自2020年</w:t>
      </w:r>
      <w:r>
        <w:rPr>
          <w:rFonts w:hint="eastAsia" w:ascii="宋体" w:hAnsi="宋体"/>
          <w:bCs/>
          <w:color w:val="000000"/>
          <w:szCs w:val="21"/>
          <w:highlight w:val="none"/>
          <w:lang w:val="en-US" w:eastAsia="zh-CN"/>
        </w:rPr>
        <w:t>6</w:t>
      </w:r>
      <w:r>
        <w:rPr>
          <w:rFonts w:hint="eastAsia" w:ascii="宋体" w:hAnsi="宋体"/>
          <w:bCs/>
          <w:color w:val="000000"/>
          <w:szCs w:val="21"/>
          <w:highlight w:val="none"/>
        </w:rPr>
        <w:t>月</w:t>
      </w:r>
      <w:r>
        <w:rPr>
          <w:rFonts w:hint="eastAsia" w:ascii="宋体" w:hAnsi="宋体"/>
          <w:bCs/>
          <w:color w:val="000000"/>
          <w:szCs w:val="21"/>
          <w:highlight w:val="none"/>
          <w:lang w:val="en-US" w:eastAsia="zh-CN"/>
        </w:rPr>
        <w:t>12</w:t>
      </w:r>
      <w:r>
        <w:rPr>
          <w:rFonts w:hint="eastAsia" w:ascii="宋体" w:hAnsi="宋体"/>
          <w:bCs/>
          <w:color w:val="000000"/>
          <w:szCs w:val="21"/>
          <w:highlight w:val="none"/>
        </w:rPr>
        <w:t>日</w:t>
      </w:r>
      <w:r>
        <w:rPr>
          <w:rFonts w:hint="eastAsia" w:ascii="宋体" w:hAnsi="宋体"/>
          <w:bCs/>
          <w:color w:val="000000"/>
          <w:szCs w:val="21"/>
          <w:highlight w:val="none"/>
          <w:lang w:eastAsia="zh-CN"/>
        </w:rPr>
        <w:t>起发布</w:t>
      </w:r>
      <w:r>
        <w:rPr>
          <w:rFonts w:hint="eastAsia" w:ascii="宋体" w:hAnsi="宋体"/>
          <w:bCs/>
          <w:color w:val="000000"/>
          <w:szCs w:val="21"/>
          <w:highlight w:val="none"/>
        </w:rPr>
        <w:t>实施。</w:t>
      </w:r>
    </w:p>
    <w:p>
      <w:pPr>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JhengHei">
    <w:panose1 w:val="020B0604030504040204"/>
    <w:charset w:val="88"/>
    <w:family w:val="swiss"/>
    <w:pitch w:val="default"/>
    <w:sig w:usb0="00000087" w:usb1="28AF4000" w:usb2="00000016" w:usb3="00000000" w:csb0="00100009" w:csb1="00000000"/>
  </w:font>
  <w:font w:name="仿宋_GB2312">
    <w:altName w:val="仿宋"/>
    <w:panose1 w:val="02010609030101010101"/>
    <w:charset w:val="86"/>
    <w:family w:val="modern"/>
    <w:pitch w:val="default"/>
    <w:sig w:usb0="00000000" w:usb1="00000000" w:usb2="00000000" w:usb3="00000000" w:csb0="00040000" w:csb1="00000000"/>
  </w:font>
  <w:font w:name="汉鼎简书宋二">
    <w:altName w:val="宋体"/>
    <w:panose1 w:val="00000000000000000000"/>
    <w:charset w:val="86"/>
    <w:family w:val="modern"/>
    <w:pitch w:val="default"/>
    <w:sig w:usb0="00000000" w:usb1="00000000" w:usb2="00000010" w:usb3="00000000" w:csb0="00040000" w:csb1="00000000"/>
  </w:font>
  <w:font w:name="Sim Su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11</w:t>
    </w:r>
    <w:r>
      <w:fldChar w:fldCharType="end"/>
    </w:r>
  </w:p>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mc:AlternateContent>
        <mc:Choice Requires="wps">
          <w:drawing>
            <wp:anchor distT="0" distB="0" distL="114300" distR="114300" simplePos="0" relativeHeight="251244544" behindDoc="1" locked="0" layoutInCell="1" allowOverlap="1">
              <wp:simplePos x="0" y="0"/>
              <wp:positionH relativeFrom="page">
                <wp:posOffset>3672840</wp:posOffset>
              </wp:positionH>
              <wp:positionV relativeFrom="page">
                <wp:posOffset>9921875</wp:posOffset>
              </wp:positionV>
              <wp:extent cx="217805" cy="1524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217805" cy="152400"/>
                      </a:xfrm>
                      <a:prstGeom prst="rect">
                        <a:avLst/>
                      </a:prstGeom>
                      <a:noFill/>
                      <a:ln w="9525">
                        <a:noFill/>
                      </a:ln>
                    </wps:spPr>
                    <wps:txbx>
                      <w:txbxContent>
                        <w:p>
                          <w:pPr>
                            <w:spacing w:before="12"/>
                            <w:ind w:left="20" w:right="0" w:firstLine="0"/>
                            <w:jc w:val="left"/>
                            <w:rPr>
                              <w:rFonts w:ascii="Times New Roman"/>
                              <w:sz w:val="18"/>
                            </w:rPr>
                          </w:pPr>
                          <w:r>
                            <w:rPr>
                              <w:rFonts w:ascii="Times New Roman"/>
                              <w:sz w:val="18"/>
                            </w:rPr>
                            <w:t xml:space="preserve">- </w:t>
                          </w:r>
                          <w:r>
                            <w:fldChar w:fldCharType="begin"/>
                          </w:r>
                          <w:r>
                            <w:rPr>
                              <w:rFonts w:ascii="Times New Roman"/>
                              <w:sz w:val="18"/>
                            </w:rPr>
                            <w:instrText xml:space="preserve"> PAGE </w:instrText>
                          </w:r>
                          <w:r>
                            <w:fldChar w:fldCharType="separate"/>
                          </w:r>
                          <w:r>
                            <w:t>2</w:t>
                          </w:r>
                          <w:r>
                            <w:fldChar w:fldCharType="end"/>
                          </w:r>
                          <w:r>
                            <w:rPr>
                              <w:rFonts w:ascii="Times New Roman"/>
                              <w:sz w:val="18"/>
                            </w:rPr>
                            <w:t xml:space="preserve"> -</w:t>
                          </w:r>
                        </w:p>
                      </w:txbxContent>
                    </wps:txbx>
                    <wps:bodyPr lIns="0" tIns="0" rIns="0" bIns="0" upright="1"/>
                  </wps:wsp>
                </a:graphicData>
              </a:graphic>
            </wp:anchor>
          </w:drawing>
        </mc:Choice>
        <mc:Fallback>
          <w:pict>
            <v:shape id="_x0000_s1026" o:spid="_x0000_s1026" o:spt="202" type="#_x0000_t202" style="position:absolute;left:0pt;margin-left:289.2pt;margin-top:781.25pt;height:12pt;width:17.15pt;mso-position-horizontal-relative:page;mso-position-vertical-relative:page;z-index:-252071936;mso-width-relative:page;mso-height-relative:page;" filled="f" stroked="f" coordsize="21600,21600" o:gfxdata="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O0los/aAAAADQEA&#10;AA8AAAAAAAAAAQAgAAAAIgAAAGRycy9kb3ducmV2LnhtbFBLAQIUABQAAAAIAIdO4kDNxHZ9pgEA&#10;ACwDAAAOAAAAAAAAAAEAIAAAACkBAABkcnMvZTJvRG9jLnhtbFBLBQYAAAAABgAGAFkBAABBBQAA&#10;AAA=&#10;">
              <v:fill on="f" focussize="0,0"/>
              <v:stroke on="f"/>
              <v:imagedata o:title=""/>
              <o:lock v:ext="edit" aspectratio="f"/>
              <v:textbox inset="0mm,0mm,0mm,0mm">
                <w:txbxContent>
                  <w:p>
                    <w:pPr>
                      <w:spacing w:before="12"/>
                      <w:ind w:left="20" w:right="0" w:firstLine="0"/>
                      <w:jc w:val="left"/>
                      <w:rPr>
                        <w:rFonts w:ascii="Times New Roman"/>
                        <w:sz w:val="18"/>
                      </w:rPr>
                    </w:pPr>
                    <w:r>
                      <w:rPr>
                        <w:rFonts w:ascii="Times New Roman"/>
                        <w:sz w:val="18"/>
                      </w:rPr>
                      <w:t xml:space="preserve">- </w:t>
                    </w:r>
                    <w:r>
                      <w:fldChar w:fldCharType="begin"/>
                    </w:r>
                    <w:r>
                      <w:rPr>
                        <w:rFonts w:ascii="Times New Roman"/>
                        <w:sz w:val="18"/>
                      </w:rPr>
                      <w:instrText xml:space="preserve"> PAGE </w:instrText>
                    </w:r>
                    <w:r>
                      <w:fldChar w:fldCharType="separate"/>
                    </w:r>
                    <w:r>
                      <w:t>2</w:t>
                    </w:r>
                    <w:r>
                      <w:fldChar w:fldCharType="end"/>
                    </w:r>
                    <w:r>
                      <w:rPr>
                        <w:rFonts w:ascii="Times New Roman"/>
                        <w:sz w:val="18"/>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11</w:t>
    </w:r>
    <w:r>
      <w:fldChar w:fldCharType="end"/>
    </w:r>
  </w:p>
  <w:p>
    <w:pPr>
      <w:pStyle w:val="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421" w:hanging="317"/>
        <w:jc w:val="left"/>
      </w:pPr>
      <w:rPr>
        <w:rFonts w:hint="default" w:ascii="Microsoft JhengHei" w:hAnsi="Microsoft JhengHei" w:eastAsia="Microsoft JhengHei" w:cs="Microsoft JhengHei"/>
        <w:b/>
        <w:bCs/>
        <w:w w:val="84"/>
        <w:sz w:val="21"/>
        <w:szCs w:val="21"/>
        <w:lang w:val="zh-CN" w:eastAsia="zh-CN" w:bidi="zh-CN"/>
      </w:rPr>
    </w:lvl>
    <w:lvl w:ilvl="1" w:tentative="0">
      <w:start w:val="0"/>
      <w:numFmt w:val="bullet"/>
      <w:lvlText w:val="•"/>
      <w:lvlJc w:val="left"/>
      <w:pPr>
        <w:ind w:left="1272" w:hanging="317"/>
      </w:pPr>
      <w:rPr>
        <w:rFonts w:hint="default"/>
        <w:lang w:val="zh-CN" w:eastAsia="zh-CN" w:bidi="zh-CN"/>
      </w:rPr>
    </w:lvl>
    <w:lvl w:ilvl="2" w:tentative="0">
      <w:start w:val="0"/>
      <w:numFmt w:val="bullet"/>
      <w:lvlText w:val="•"/>
      <w:lvlJc w:val="left"/>
      <w:pPr>
        <w:ind w:left="2125" w:hanging="317"/>
      </w:pPr>
      <w:rPr>
        <w:rFonts w:hint="default"/>
        <w:lang w:val="zh-CN" w:eastAsia="zh-CN" w:bidi="zh-CN"/>
      </w:rPr>
    </w:lvl>
    <w:lvl w:ilvl="3" w:tentative="0">
      <w:start w:val="0"/>
      <w:numFmt w:val="bullet"/>
      <w:lvlText w:val="•"/>
      <w:lvlJc w:val="left"/>
      <w:pPr>
        <w:ind w:left="2977" w:hanging="317"/>
      </w:pPr>
      <w:rPr>
        <w:rFonts w:hint="default"/>
        <w:lang w:val="zh-CN" w:eastAsia="zh-CN" w:bidi="zh-CN"/>
      </w:rPr>
    </w:lvl>
    <w:lvl w:ilvl="4" w:tentative="0">
      <w:start w:val="0"/>
      <w:numFmt w:val="bullet"/>
      <w:lvlText w:val="•"/>
      <w:lvlJc w:val="left"/>
      <w:pPr>
        <w:ind w:left="3830" w:hanging="317"/>
      </w:pPr>
      <w:rPr>
        <w:rFonts w:hint="default"/>
        <w:lang w:val="zh-CN" w:eastAsia="zh-CN" w:bidi="zh-CN"/>
      </w:rPr>
    </w:lvl>
    <w:lvl w:ilvl="5" w:tentative="0">
      <w:start w:val="0"/>
      <w:numFmt w:val="bullet"/>
      <w:lvlText w:val="•"/>
      <w:lvlJc w:val="left"/>
      <w:pPr>
        <w:ind w:left="4683" w:hanging="317"/>
      </w:pPr>
      <w:rPr>
        <w:rFonts w:hint="default"/>
        <w:lang w:val="zh-CN" w:eastAsia="zh-CN" w:bidi="zh-CN"/>
      </w:rPr>
    </w:lvl>
    <w:lvl w:ilvl="6" w:tentative="0">
      <w:start w:val="0"/>
      <w:numFmt w:val="bullet"/>
      <w:lvlText w:val="•"/>
      <w:lvlJc w:val="left"/>
      <w:pPr>
        <w:ind w:left="5535" w:hanging="317"/>
      </w:pPr>
      <w:rPr>
        <w:rFonts w:hint="default"/>
        <w:lang w:val="zh-CN" w:eastAsia="zh-CN" w:bidi="zh-CN"/>
      </w:rPr>
    </w:lvl>
    <w:lvl w:ilvl="7" w:tentative="0">
      <w:start w:val="0"/>
      <w:numFmt w:val="bullet"/>
      <w:lvlText w:val="•"/>
      <w:lvlJc w:val="left"/>
      <w:pPr>
        <w:ind w:left="6388" w:hanging="317"/>
      </w:pPr>
      <w:rPr>
        <w:rFonts w:hint="default"/>
        <w:lang w:val="zh-CN" w:eastAsia="zh-CN" w:bidi="zh-CN"/>
      </w:rPr>
    </w:lvl>
    <w:lvl w:ilvl="8" w:tentative="0">
      <w:start w:val="0"/>
      <w:numFmt w:val="bullet"/>
      <w:lvlText w:val="•"/>
      <w:lvlJc w:val="left"/>
      <w:pPr>
        <w:ind w:left="7241" w:hanging="317"/>
      </w:pPr>
      <w:rPr>
        <w:rFonts w:hint="default"/>
        <w:lang w:val="zh-CN" w:eastAsia="zh-CN" w:bidi="zh-CN"/>
      </w:rPr>
    </w:lvl>
  </w:abstractNum>
  <w:abstractNum w:abstractNumId="1">
    <w:nsid w:val="59ADCABA"/>
    <w:multiLevelType w:val="multilevel"/>
    <w:tmpl w:val="59ADCABA"/>
    <w:lvl w:ilvl="0" w:tentative="0">
      <w:start w:val="7"/>
      <w:numFmt w:val="decimal"/>
      <w:lvlText w:val="%1"/>
      <w:lvlJc w:val="left"/>
      <w:pPr>
        <w:ind w:left="421" w:hanging="317"/>
        <w:jc w:val="left"/>
      </w:pPr>
      <w:rPr>
        <w:rFonts w:hint="default" w:ascii="Microsoft JhengHei" w:hAnsi="Microsoft JhengHei" w:eastAsia="Microsoft JhengHei" w:cs="Microsoft JhengHei"/>
        <w:b/>
        <w:bCs/>
        <w:w w:val="84"/>
        <w:sz w:val="21"/>
        <w:szCs w:val="21"/>
        <w:lang w:val="zh-CN" w:eastAsia="zh-CN" w:bidi="zh-CN"/>
      </w:rPr>
    </w:lvl>
    <w:lvl w:ilvl="1" w:tentative="0">
      <w:start w:val="1"/>
      <w:numFmt w:val="decimal"/>
      <w:lvlText w:val="%1.%2"/>
      <w:lvlJc w:val="left"/>
      <w:pPr>
        <w:ind w:left="474" w:hanging="370"/>
        <w:jc w:val="left"/>
      </w:pPr>
      <w:rPr>
        <w:rFonts w:hint="default" w:ascii="宋体" w:hAnsi="宋体" w:eastAsia="宋体" w:cs="宋体"/>
        <w:w w:val="100"/>
        <w:sz w:val="21"/>
        <w:szCs w:val="21"/>
        <w:lang w:val="zh-CN" w:eastAsia="zh-CN" w:bidi="zh-CN"/>
      </w:rPr>
    </w:lvl>
    <w:lvl w:ilvl="2" w:tentative="0">
      <w:start w:val="1"/>
      <w:numFmt w:val="decimal"/>
      <w:lvlText w:val="%1.%2.%3"/>
      <w:lvlJc w:val="left"/>
      <w:pPr>
        <w:ind w:left="685" w:hanging="581"/>
        <w:jc w:val="left"/>
      </w:pPr>
      <w:rPr>
        <w:rFonts w:hint="default" w:ascii="宋体" w:hAnsi="宋体" w:eastAsia="宋体" w:cs="宋体"/>
        <w:w w:val="100"/>
        <w:sz w:val="21"/>
        <w:szCs w:val="21"/>
        <w:lang w:val="zh-CN" w:eastAsia="zh-CN" w:bidi="zh-CN"/>
      </w:rPr>
    </w:lvl>
    <w:lvl w:ilvl="3" w:tentative="0">
      <w:start w:val="0"/>
      <w:numFmt w:val="bullet"/>
      <w:lvlText w:val="•"/>
      <w:lvlJc w:val="left"/>
      <w:pPr>
        <w:ind w:left="680" w:hanging="581"/>
      </w:pPr>
      <w:rPr>
        <w:rFonts w:hint="default"/>
        <w:lang w:val="zh-CN" w:eastAsia="zh-CN" w:bidi="zh-CN"/>
      </w:rPr>
    </w:lvl>
    <w:lvl w:ilvl="4" w:tentative="0">
      <w:start w:val="0"/>
      <w:numFmt w:val="bullet"/>
      <w:lvlText w:val="•"/>
      <w:lvlJc w:val="left"/>
      <w:pPr>
        <w:ind w:left="1860" w:hanging="581"/>
      </w:pPr>
      <w:rPr>
        <w:rFonts w:hint="default"/>
        <w:lang w:val="zh-CN" w:eastAsia="zh-CN" w:bidi="zh-CN"/>
      </w:rPr>
    </w:lvl>
    <w:lvl w:ilvl="5" w:tentative="0">
      <w:start w:val="0"/>
      <w:numFmt w:val="bullet"/>
      <w:lvlText w:val="•"/>
      <w:lvlJc w:val="left"/>
      <w:pPr>
        <w:ind w:left="3041" w:hanging="581"/>
      </w:pPr>
      <w:rPr>
        <w:rFonts w:hint="default"/>
        <w:lang w:val="zh-CN" w:eastAsia="zh-CN" w:bidi="zh-CN"/>
      </w:rPr>
    </w:lvl>
    <w:lvl w:ilvl="6" w:tentative="0">
      <w:start w:val="0"/>
      <w:numFmt w:val="bullet"/>
      <w:lvlText w:val="•"/>
      <w:lvlJc w:val="left"/>
      <w:pPr>
        <w:ind w:left="4222" w:hanging="581"/>
      </w:pPr>
      <w:rPr>
        <w:rFonts w:hint="default"/>
        <w:lang w:val="zh-CN" w:eastAsia="zh-CN" w:bidi="zh-CN"/>
      </w:rPr>
    </w:lvl>
    <w:lvl w:ilvl="7" w:tentative="0">
      <w:start w:val="0"/>
      <w:numFmt w:val="bullet"/>
      <w:lvlText w:val="•"/>
      <w:lvlJc w:val="left"/>
      <w:pPr>
        <w:ind w:left="5403" w:hanging="581"/>
      </w:pPr>
      <w:rPr>
        <w:rFonts w:hint="default"/>
        <w:lang w:val="zh-CN" w:eastAsia="zh-CN" w:bidi="zh-CN"/>
      </w:rPr>
    </w:lvl>
    <w:lvl w:ilvl="8" w:tentative="0">
      <w:start w:val="0"/>
      <w:numFmt w:val="bullet"/>
      <w:lvlText w:val="•"/>
      <w:lvlJc w:val="left"/>
      <w:pPr>
        <w:ind w:left="6584" w:hanging="581"/>
      </w:pPr>
      <w:rPr>
        <w:rFonts w:hint="default"/>
        <w:lang w:val="zh-CN" w:eastAsia="zh-CN" w:bidi="zh-C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907AE"/>
    <w:rsid w:val="05CA42AA"/>
    <w:rsid w:val="080B2C43"/>
    <w:rsid w:val="0E795D07"/>
    <w:rsid w:val="0EF570FA"/>
    <w:rsid w:val="15846956"/>
    <w:rsid w:val="18035DF1"/>
    <w:rsid w:val="197204A9"/>
    <w:rsid w:val="205F35D9"/>
    <w:rsid w:val="21A05441"/>
    <w:rsid w:val="249D3930"/>
    <w:rsid w:val="25DF22EB"/>
    <w:rsid w:val="281F0B17"/>
    <w:rsid w:val="2D2E3DE8"/>
    <w:rsid w:val="2E131401"/>
    <w:rsid w:val="2F5F725A"/>
    <w:rsid w:val="32DE07D4"/>
    <w:rsid w:val="369B3930"/>
    <w:rsid w:val="3D407CD7"/>
    <w:rsid w:val="45213311"/>
    <w:rsid w:val="489B0E96"/>
    <w:rsid w:val="4ADF724E"/>
    <w:rsid w:val="4F872877"/>
    <w:rsid w:val="50D11978"/>
    <w:rsid w:val="51877410"/>
    <w:rsid w:val="554A5A18"/>
    <w:rsid w:val="64C3669B"/>
    <w:rsid w:val="67542A41"/>
    <w:rsid w:val="6BB169AD"/>
    <w:rsid w:val="6C76186E"/>
    <w:rsid w:val="6E606C8E"/>
    <w:rsid w:val="75475306"/>
    <w:rsid w:val="75933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Times New Roman" w:hAnsi="Times New Roman" w:eastAsia="宋体" w:cs="Times New Roman"/>
      <w:sz w:val="21"/>
      <w:lang w:val="en-US" w:eastAsia="zh-CN" w:bidi="ar-SA"/>
    </w:rPr>
  </w:style>
  <w:style w:type="paragraph" w:styleId="2">
    <w:name w:val="heading 1"/>
    <w:basedOn w:val="1"/>
    <w:next w:val="1"/>
    <w:qFormat/>
    <w:uiPriority w:val="1"/>
    <w:pPr>
      <w:ind w:left="421" w:hanging="318"/>
      <w:outlineLvl w:val="1"/>
    </w:pPr>
    <w:rPr>
      <w:rFonts w:ascii="Microsoft JhengHei" w:hAnsi="Microsoft JhengHei" w:eastAsia="Microsoft JhengHei" w:cs="Microsoft JhengHei"/>
      <w:b/>
      <w:bCs/>
      <w:sz w:val="21"/>
      <w:szCs w:val="21"/>
      <w:lang w:val="zh-CN" w:eastAsia="zh-CN" w:bidi="zh-CN"/>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pPr>
      <w:ind w:left="104"/>
    </w:pPr>
    <w:rPr>
      <w:rFonts w:ascii="宋体" w:hAnsi="宋体" w:eastAsia="宋体" w:cs="宋体"/>
      <w:sz w:val="21"/>
      <w:szCs w:val="21"/>
      <w:lang w:val="zh-CN" w:eastAsia="zh-CN" w:bidi="zh-CN"/>
    </w:rPr>
  </w:style>
  <w:style w:type="paragraph" w:styleId="4">
    <w:name w:val="Plain Text"/>
    <w:basedOn w:val="1"/>
    <w:qFormat/>
    <w:uiPriority w:val="0"/>
    <w:rPr>
      <w:rFonts w:ascii="宋体" w:hAnsi="Courier New"/>
      <w:szCs w:val="20"/>
    </w:rPr>
  </w:style>
  <w:style w:type="paragraph" w:styleId="5">
    <w:name w:val="footer"/>
    <w:basedOn w:val="1"/>
    <w:qFormat/>
    <w:uiPriority w:val="0"/>
    <w:pPr>
      <w:widowControl w:val="0"/>
      <w:tabs>
        <w:tab w:val="center" w:pos="4153"/>
        <w:tab w:val="right" w:pos="8306"/>
      </w:tabs>
      <w:snapToGrid w:val="0"/>
      <w:spacing w:line="240" w:lineRule="auto"/>
    </w:pPr>
    <w:rPr>
      <w:kern w:val="2"/>
      <w:sz w:val="18"/>
      <w:szCs w:val="18"/>
    </w:rPr>
  </w:style>
  <w:style w:type="paragraph" w:styleId="6">
    <w:name w:val="header"/>
    <w:basedOn w:val="1"/>
    <w:qFormat/>
    <w:uiPriority w:val="0"/>
    <w:pPr>
      <w:widowControl w:val="0"/>
      <w:pBdr>
        <w:bottom w:val="single" w:color="auto" w:sz="6" w:space="1"/>
      </w:pBdr>
      <w:tabs>
        <w:tab w:val="center" w:pos="4153"/>
        <w:tab w:val="right" w:pos="8306"/>
      </w:tabs>
      <w:snapToGrid w:val="0"/>
      <w:spacing w:line="240" w:lineRule="auto"/>
      <w:jc w:val="center"/>
    </w:pPr>
    <w:rPr>
      <w:kern w:val="2"/>
      <w:sz w:val="18"/>
      <w:szCs w:val="18"/>
    </w:rPr>
  </w:style>
  <w:style w:type="character" w:styleId="9">
    <w:name w:val="page number"/>
    <w:basedOn w:val="8"/>
    <w:qFormat/>
    <w:uiPriority w:val="0"/>
  </w:style>
  <w:style w:type="character" w:customStyle="1" w:styleId="10">
    <w:name w:val="公文文号"/>
    <w:qFormat/>
    <w:uiPriority w:val="0"/>
    <w:rPr>
      <w:rFonts w:eastAsia="仿宋_GB2312"/>
      <w:sz w:val="32"/>
    </w:rPr>
  </w:style>
  <w:style w:type="paragraph" w:customStyle="1" w:styleId="11">
    <w:name w:val="肥料正文"/>
    <w:basedOn w:val="1"/>
    <w:qFormat/>
    <w:uiPriority w:val="0"/>
    <w:pPr>
      <w:widowControl w:val="0"/>
      <w:adjustRightInd w:val="0"/>
      <w:snapToGrid w:val="0"/>
      <w:spacing w:line="317" w:lineRule="auto"/>
      <w:ind w:firstLine="200" w:firstLineChars="200"/>
      <w:jc w:val="both"/>
    </w:pPr>
    <w:rPr>
      <w:rFonts w:eastAsia="汉鼎简书宋二"/>
      <w:snapToGrid w:val="0"/>
      <w:spacing w:val="2"/>
      <w:sz w:val="22"/>
      <w:szCs w:val="24"/>
    </w:rPr>
  </w:style>
  <w:style w:type="paragraph" w:styleId="12">
    <w:name w:val="List Paragraph"/>
    <w:basedOn w:val="1"/>
    <w:qFormat/>
    <w:uiPriority w:val="1"/>
    <w:pPr>
      <w:ind w:left="421" w:hanging="318"/>
      <w:jc w:val="both"/>
    </w:pPr>
    <w:rPr>
      <w:rFonts w:ascii="宋体" w:hAnsi="宋体" w:eastAsia="宋体" w:cs="宋体"/>
      <w:lang w:val="zh-CN" w:eastAsia="zh-CN" w:bidi="zh-CN"/>
    </w:rPr>
  </w:style>
  <w:style w:type="paragraph" w:customStyle="1" w:styleId="13">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2020-03-13T01:42:00Z</dcterms:created>
  <dc:creator>hp</dc:creator>
  <cp:lastModifiedBy>NTKO</cp:lastModifiedBy>
  <dcterms:modified xsi:type="dcterms:W3CDTF">2020-06-12T02:42:38Z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