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both"/>
        <w:rPr>
          <w:rFonts w:hint="eastAsia" w:ascii="方正黑体简体" w:hAnsi="方正黑体简体" w:eastAsia="方正黑体简体" w:cs="方正黑体简体"/>
          <w:sz w:val="32"/>
          <w:szCs w:val="32"/>
          <w:lang w:eastAsia="zh-CN"/>
        </w:rPr>
      </w:pPr>
      <w:bookmarkStart w:id="0" w:name="_GoBack"/>
      <w:bookmarkEnd w:id="0"/>
      <w:r>
        <w:rPr>
          <w:rFonts w:hint="eastAsia" w:ascii="方正黑体简体" w:hAnsi="方正黑体简体" w:eastAsia="方正黑体简体" w:cs="方正黑体简体"/>
          <w:sz w:val="32"/>
          <w:szCs w:val="32"/>
          <w:lang w:eastAsia="zh-CN"/>
        </w:rPr>
        <w:t>附件</w:t>
      </w:r>
      <w:r>
        <w:rPr>
          <w:rFonts w:hint="eastAsia" w:ascii="方正黑体简体" w:hAnsi="方正黑体简体" w:eastAsia="方正黑体简体" w:cs="方正黑体简体"/>
          <w:sz w:val="32"/>
          <w:szCs w:val="32"/>
          <w:lang w:val="en-US" w:eastAsia="zh-CN"/>
        </w:rPr>
        <w:t>1</w:t>
      </w:r>
    </w:p>
    <w:p>
      <w:pPr>
        <w:spacing w:line="760" w:lineRule="exact"/>
        <w:jc w:val="center"/>
        <w:rPr>
          <w:rFonts w:hint="eastAsia" w:ascii="方正小标宋简体" w:eastAsia="方正小标宋简体"/>
          <w:sz w:val="44"/>
          <w:szCs w:val="44"/>
        </w:rPr>
      </w:pPr>
      <w:r>
        <w:rPr>
          <w:rFonts w:hint="eastAsia" w:ascii="方正小标宋简体" w:eastAsia="方正小标宋简体"/>
          <w:sz w:val="44"/>
          <w:szCs w:val="44"/>
        </w:rPr>
        <w:t>云南省药品零售连锁企业验收标准（试行）</w:t>
      </w:r>
    </w:p>
    <w:p>
      <w:pPr>
        <w:snapToGrid w:val="0"/>
        <w:spacing w:line="590" w:lineRule="atLeast"/>
        <w:jc w:val="center"/>
        <w:rPr>
          <w:rFonts w:hint="eastAsia" w:ascii="仿宋_GB2312"/>
          <w:sz w:val="44"/>
          <w:szCs w:val="44"/>
        </w:rPr>
      </w:pPr>
    </w:p>
    <w:p>
      <w:pPr>
        <w:autoSpaceDN w:val="0"/>
        <w:snapToGrid w:val="0"/>
        <w:spacing w:line="520" w:lineRule="exact"/>
        <w:jc w:val="center"/>
        <w:rPr>
          <w:rFonts w:hint="eastAsia" w:ascii="方正黑体简体" w:eastAsia="方正黑体简体"/>
          <w:szCs w:val="32"/>
        </w:rPr>
      </w:pPr>
      <w:r>
        <w:rPr>
          <w:rFonts w:hint="eastAsia" w:ascii="方正黑体简体" w:eastAsia="方正黑体简体"/>
          <w:szCs w:val="32"/>
        </w:rPr>
        <w:t>第一章 总  则</w:t>
      </w:r>
    </w:p>
    <w:p>
      <w:pPr>
        <w:keepNext w:val="0"/>
        <w:keepLines w:val="0"/>
        <w:pageBreakBefore w:val="0"/>
        <w:widowControl w:val="0"/>
        <w:kinsoku/>
        <w:wordWrap/>
        <w:overflowPunct/>
        <w:topLinePunct w:val="0"/>
        <w:autoSpaceDE/>
        <w:bidi w:val="0"/>
        <w:adjustRightInd/>
        <w:spacing w:line="560" w:lineRule="exact"/>
        <w:ind w:left="0" w:leftChars="0" w:right="0" w:rightChars="0" w:firstLine="710" w:firstLineChars="221"/>
        <w:jc w:val="left"/>
        <w:textAlignment w:val="auto"/>
        <w:outlineLvl w:val="9"/>
        <w:rPr>
          <w:rFonts w:eastAsia="方正仿宋简体"/>
          <w:szCs w:val="32"/>
        </w:rPr>
      </w:pPr>
      <w:r>
        <w:rPr>
          <w:rFonts w:hint="eastAsia" w:ascii="方正黑体简体" w:hAnsi="方正黑体简体" w:eastAsia="方正黑体简体" w:cs="方正黑体简体"/>
          <w:b w:val="0"/>
          <w:bCs/>
          <w:szCs w:val="32"/>
        </w:rPr>
        <w:t>第一条</w:t>
      </w:r>
      <w:r>
        <w:rPr>
          <w:rFonts w:eastAsia="方正仿宋简体"/>
          <w:szCs w:val="32"/>
        </w:rPr>
        <w:t>　为促进云南省药品零售连锁企业（以下简称零售连锁企业）发展，根据《中华人民共和国药品管理法》、《云南省药品管理条例》、《药品经营许可证管理办法》（局令第6号）、《药品经营质量管理规范》（总局令第13号）和《云南省药品经营质量管理规范现场检查评定标准》等相关法律、法规和规范性文件，结合我省实际，制定本标准。</w:t>
      </w:r>
    </w:p>
    <w:p>
      <w:pPr>
        <w:keepNext w:val="0"/>
        <w:keepLines w:val="0"/>
        <w:pageBreakBefore w:val="0"/>
        <w:widowControl w:val="0"/>
        <w:kinsoku/>
        <w:wordWrap/>
        <w:overflowPunct/>
        <w:topLinePunct w:val="0"/>
        <w:autoSpaceDE/>
        <w:autoSpaceDN w:val="0"/>
        <w:bidi w:val="0"/>
        <w:adjustRightInd/>
        <w:snapToGrid w:val="0"/>
        <w:spacing w:line="560" w:lineRule="exact"/>
        <w:ind w:left="0" w:leftChars="0" w:right="0" w:rightChars="0" w:firstLine="643" w:firstLineChars="200"/>
        <w:textAlignment w:val="auto"/>
        <w:outlineLvl w:val="9"/>
        <w:rPr>
          <w:rFonts w:eastAsia="方正仿宋简体"/>
          <w:szCs w:val="32"/>
        </w:rPr>
      </w:pPr>
      <w:r>
        <w:rPr>
          <w:rFonts w:hint="eastAsia" w:ascii="方正黑体简体" w:hAnsi="方正黑体简体" w:eastAsia="方正黑体简体" w:cs="方正黑体简体"/>
          <w:b w:val="0"/>
          <w:bCs/>
          <w:szCs w:val="32"/>
        </w:rPr>
        <w:t>第二条</w:t>
      </w:r>
      <w:r>
        <w:rPr>
          <w:rFonts w:eastAsia="方正仿宋简体"/>
          <w:szCs w:val="32"/>
        </w:rPr>
        <w:t>　零售连锁企业应由公司总部、配送中心（仓库）和若干个门店组成，在总部统一领导管理下，采取统一企业标识、统一企业管理、统一质量控制、统一人员管理、统一财务管理、统一采购配送、统一网络管理、统一服务承诺。</w:t>
      </w:r>
    </w:p>
    <w:p>
      <w:pPr>
        <w:keepNext w:val="0"/>
        <w:keepLines w:val="0"/>
        <w:pageBreakBefore w:val="0"/>
        <w:widowControl w:val="0"/>
        <w:kinsoku/>
        <w:wordWrap/>
        <w:overflowPunct/>
        <w:topLinePunct w:val="0"/>
        <w:autoSpaceDE/>
        <w:autoSpaceDN w:val="0"/>
        <w:bidi w:val="0"/>
        <w:adjustRightInd/>
        <w:snapToGrid w:val="0"/>
        <w:spacing w:line="560" w:lineRule="exact"/>
        <w:ind w:left="0" w:leftChars="0" w:right="0" w:rightChars="0" w:firstLine="640" w:firstLineChars="200"/>
        <w:textAlignment w:val="auto"/>
        <w:outlineLvl w:val="9"/>
        <w:rPr>
          <w:rFonts w:eastAsia="方正仿宋简体"/>
          <w:szCs w:val="32"/>
        </w:rPr>
      </w:pPr>
      <w:r>
        <w:rPr>
          <w:rFonts w:eastAsia="方正仿宋简体"/>
          <w:szCs w:val="32"/>
        </w:rPr>
        <w:t>总部是连锁企业经营管理的核心，配送中心是连锁企业的物流机构，门店承担日常零售业务。</w:t>
      </w:r>
    </w:p>
    <w:p>
      <w:pPr>
        <w:keepNext w:val="0"/>
        <w:keepLines w:val="0"/>
        <w:pageBreakBefore w:val="0"/>
        <w:widowControl w:val="0"/>
        <w:kinsoku/>
        <w:wordWrap/>
        <w:overflowPunct/>
        <w:topLinePunct w:val="0"/>
        <w:autoSpaceDE/>
        <w:autoSpaceDN w:val="0"/>
        <w:bidi w:val="0"/>
        <w:adjustRightInd/>
        <w:snapToGrid w:val="0"/>
        <w:spacing w:line="560" w:lineRule="exact"/>
        <w:ind w:left="0" w:leftChars="0" w:right="0" w:rightChars="0" w:firstLine="643" w:firstLineChars="200"/>
        <w:textAlignment w:val="auto"/>
        <w:outlineLvl w:val="9"/>
        <w:rPr>
          <w:rFonts w:eastAsia="方正仿宋简体"/>
          <w:szCs w:val="32"/>
        </w:rPr>
      </w:pPr>
      <w:r>
        <w:rPr>
          <w:rFonts w:hint="eastAsia" w:ascii="方正黑体简体" w:hAnsi="方正黑体简体" w:eastAsia="方正黑体简体" w:cs="方正黑体简体"/>
          <w:b w:val="0"/>
          <w:bCs/>
          <w:szCs w:val="32"/>
        </w:rPr>
        <w:t>第三条</w:t>
      </w:r>
      <w:r>
        <w:rPr>
          <w:rFonts w:eastAsia="方正仿宋简体"/>
          <w:szCs w:val="32"/>
        </w:rPr>
        <w:t>　零售连锁企业和门店经营范围为：中药饮片、中成药、化学药制剂、抗生素、生化药品、生物制品（不含疫苗）、肽类激素（仅限于胰岛素）。其他特殊管理的药品，应按照国家有关管理规定核定。门店的经营范围不得超过总部的经营范围。</w:t>
      </w:r>
    </w:p>
    <w:p>
      <w:pPr>
        <w:keepNext w:val="0"/>
        <w:keepLines w:val="0"/>
        <w:pageBreakBefore w:val="0"/>
        <w:widowControl w:val="0"/>
        <w:kinsoku/>
        <w:wordWrap/>
        <w:overflowPunct/>
        <w:topLinePunct w:val="0"/>
        <w:autoSpaceDE/>
        <w:autoSpaceDN w:val="0"/>
        <w:bidi w:val="0"/>
        <w:adjustRightInd/>
        <w:snapToGrid w:val="0"/>
        <w:spacing w:line="560" w:lineRule="exact"/>
        <w:ind w:left="0" w:leftChars="0" w:right="0" w:rightChars="0" w:firstLine="643" w:firstLineChars="200"/>
        <w:textAlignment w:val="auto"/>
        <w:outlineLvl w:val="9"/>
        <w:rPr>
          <w:rFonts w:eastAsia="方正仿宋简体"/>
          <w:szCs w:val="32"/>
        </w:rPr>
      </w:pPr>
      <w:r>
        <w:rPr>
          <w:rFonts w:hint="eastAsia" w:ascii="方正黑体简体" w:hAnsi="方正黑体简体" w:eastAsia="方正黑体简体" w:cs="方正黑体简体"/>
          <w:b w:val="0"/>
          <w:bCs/>
          <w:szCs w:val="32"/>
        </w:rPr>
        <w:t>第四条</w:t>
      </w:r>
      <w:r>
        <w:rPr>
          <w:rFonts w:eastAsia="方正仿宋简体"/>
          <w:szCs w:val="32"/>
        </w:rPr>
        <w:t>　省内零售连锁企业《药品经营许可证》的核发、换证、变更适用本标准。零售连锁企业总部按药品批发企业监管。</w:t>
      </w:r>
    </w:p>
    <w:p>
      <w:pPr>
        <w:keepNext w:val="0"/>
        <w:keepLines w:val="0"/>
        <w:pageBreakBefore w:val="0"/>
        <w:widowControl w:val="0"/>
        <w:kinsoku/>
        <w:wordWrap/>
        <w:overflowPunct/>
        <w:topLinePunct w:val="0"/>
        <w:autoSpaceDE/>
        <w:autoSpaceDN w:val="0"/>
        <w:bidi w:val="0"/>
        <w:adjustRightInd/>
        <w:snapToGrid w:val="0"/>
        <w:spacing w:line="560" w:lineRule="exact"/>
        <w:ind w:left="0" w:leftChars="0" w:right="0" w:rightChars="0" w:firstLine="640" w:firstLineChars="200"/>
        <w:textAlignment w:val="auto"/>
        <w:outlineLvl w:val="9"/>
        <w:rPr>
          <w:rFonts w:eastAsia="方正仿宋简体"/>
          <w:szCs w:val="32"/>
        </w:rPr>
      </w:pPr>
      <w:r>
        <w:rPr>
          <w:rFonts w:eastAsia="方正仿宋简体"/>
          <w:szCs w:val="32"/>
        </w:rPr>
        <w:t>云南省食品药品监管局负责零售连锁企业总部《药品经营许可证》核发及管理工作。各州市局、省直管县食品药品监管部门负责连锁企业门店《药品经营许可证》的核发及监管工作。各级食品药品监管部门按照属地管理原则负责本行政区域内零售连锁企业的日常监管。</w:t>
      </w:r>
    </w:p>
    <w:p>
      <w:pPr>
        <w:keepNext w:val="0"/>
        <w:keepLines w:val="0"/>
        <w:pageBreakBefore w:val="0"/>
        <w:widowControl w:val="0"/>
        <w:kinsoku/>
        <w:wordWrap/>
        <w:overflowPunct/>
        <w:topLinePunct w:val="0"/>
        <w:autoSpaceDE/>
        <w:autoSpaceDN w:val="0"/>
        <w:bidi w:val="0"/>
        <w:adjustRightInd/>
        <w:snapToGrid w:val="0"/>
        <w:spacing w:line="560" w:lineRule="exact"/>
        <w:ind w:left="0" w:leftChars="0" w:right="0" w:rightChars="0"/>
        <w:jc w:val="center"/>
        <w:textAlignment w:val="auto"/>
        <w:outlineLvl w:val="9"/>
        <w:rPr>
          <w:rFonts w:hint="eastAsia" w:ascii="方正黑体简体" w:eastAsia="方正黑体简体"/>
          <w:szCs w:val="32"/>
        </w:rPr>
      </w:pPr>
      <w:r>
        <w:rPr>
          <w:rFonts w:hint="eastAsia" w:ascii="方正黑体简体" w:eastAsia="方正黑体简体"/>
          <w:szCs w:val="32"/>
        </w:rPr>
        <w:t>第二章 机构与人员</w:t>
      </w:r>
    </w:p>
    <w:p>
      <w:pPr>
        <w:keepNext w:val="0"/>
        <w:keepLines w:val="0"/>
        <w:pageBreakBefore w:val="0"/>
        <w:widowControl w:val="0"/>
        <w:kinsoku/>
        <w:wordWrap/>
        <w:overflowPunct/>
        <w:topLinePunct w:val="0"/>
        <w:autoSpaceDE/>
        <w:autoSpaceDN w:val="0"/>
        <w:bidi w:val="0"/>
        <w:adjustRightInd/>
        <w:snapToGrid w:val="0"/>
        <w:spacing w:line="560" w:lineRule="exact"/>
        <w:ind w:left="0" w:leftChars="0" w:right="0" w:rightChars="0" w:firstLine="643" w:firstLineChars="200"/>
        <w:textAlignment w:val="auto"/>
        <w:outlineLvl w:val="9"/>
        <w:rPr>
          <w:rFonts w:eastAsia="方正仿宋简体"/>
          <w:szCs w:val="32"/>
        </w:rPr>
      </w:pPr>
      <w:r>
        <w:rPr>
          <w:rFonts w:hint="eastAsia" w:ascii="方正黑体简体" w:hAnsi="方正黑体简体" w:eastAsia="方正黑体简体" w:cs="方正黑体简体"/>
          <w:b w:val="0"/>
          <w:bCs/>
          <w:szCs w:val="32"/>
        </w:rPr>
        <w:t>第五条</w:t>
      </w:r>
      <w:r>
        <w:rPr>
          <w:rFonts w:eastAsia="方正仿宋简体"/>
          <w:szCs w:val="32"/>
        </w:rPr>
        <w:t>　零售连锁企业总部应符合以下设置要求：</w:t>
      </w:r>
    </w:p>
    <w:p>
      <w:pPr>
        <w:keepNext w:val="0"/>
        <w:keepLines w:val="0"/>
        <w:pageBreakBefore w:val="0"/>
        <w:widowControl w:val="0"/>
        <w:kinsoku/>
        <w:wordWrap/>
        <w:overflowPunct/>
        <w:topLinePunct w:val="0"/>
        <w:autoSpaceDE/>
        <w:autoSpaceDN w:val="0"/>
        <w:bidi w:val="0"/>
        <w:adjustRightInd/>
        <w:snapToGrid w:val="0"/>
        <w:spacing w:line="560" w:lineRule="exact"/>
        <w:ind w:left="0" w:leftChars="0" w:right="0" w:rightChars="0" w:firstLine="640" w:firstLineChars="200"/>
        <w:textAlignment w:val="auto"/>
        <w:outlineLvl w:val="9"/>
        <w:rPr>
          <w:rFonts w:eastAsia="方正仿宋简体"/>
          <w:szCs w:val="32"/>
        </w:rPr>
      </w:pPr>
      <w:r>
        <w:rPr>
          <w:rFonts w:eastAsia="方正仿宋简体"/>
          <w:szCs w:val="32"/>
        </w:rPr>
        <w:t>（一）拟办企业应为独立法人的企业。</w:t>
      </w:r>
    </w:p>
    <w:p>
      <w:pPr>
        <w:keepNext w:val="0"/>
        <w:keepLines w:val="0"/>
        <w:pageBreakBefore w:val="0"/>
        <w:widowControl w:val="0"/>
        <w:kinsoku/>
        <w:wordWrap/>
        <w:overflowPunct/>
        <w:topLinePunct w:val="0"/>
        <w:autoSpaceDE/>
        <w:autoSpaceDN w:val="0"/>
        <w:bidi w:val="0"/>
        <w:adjustRightInd/>
        <w:snapToGrid w:val="0"/>
        <w:spacing w:line="560" w:lineRule="exact"/>
        <w:ind w:left="0" w:leftChars="0" w:right="0" w:rightChars="0" w:firstLine="640" w:firstLineChars="200"/>
        <w:textAlignment w:val="auto"/>
        <w:outlineLvl w:val="9"/>
        <w:rPr>
          <w:rFonts w:eastAsia="方正仿宋简体"/>
          <w:szCs w:val="32"/>
        </w:rPr>
      </w:pPr>
      <w:r>
        <w:rPr>
          <w:rFonts w:eastAsia="方正仿宋简体"/>
          <w:szCs w:val="32"/>
        </w:rPr>
        <w:t>（二）具有10家以上（含10家）门店。</w:t>
      </w:r>
    </w:p>
    <w:p>
      <w:pPr>
        <w:keepNext w:val="0"/>
        <w:keepLines w:val="0"/>
        <w:pageBreakBefore w:val="0"/>
        <w:widowControl w:val="0"/>
        <w:kinsoku/>
        <w:wordWrap/>
        <w:overflowPunct/>
        <w:topLinePunct w:val="0"/>
        <w:autoSpaceDE/>
        <w:autoSpaceDN w:val="0"/>
        <w:bidi w:val="0"/>
        <w:adjustRightInd/>
        <w:snapToGrid w:val="0"/>
        <w:spacing w:line="560" w:lineRule="exact"/>
        <w:ind w:left="0" w:leftChars="0" w:right="0" w:rightChars="0" w:firstLine="640" w:firstLineChars="200"/>
        <w:textAlignment w:val="auto"/>
        <w:outlineLvl w:val="9"/>
        <w:rPr>
          <w:rFonts w:eastAsia="方正仿宋简体"/>
          <w:szCs w:val="32"/>
        </w:rPr>
      </w:pPr>
      <w:r>
        <w:rPr>
          <w:rFonts w:eastAsia="方正仿宋简体"/>
          <w:szCs w:val="32"/>
        </w:rPr>
        <w:t>（三）企业法定代表人、企业负责人、企业质量负责人、企业质量管理机构负责人及企业相关质量管理人员资质按《药品经营质量管理规范》（总局令第13号）和《云南省药品经营质量管理规范现场检查评定标准》执行。</w:t>
      </w:r>
    </w:p>
    <w:p>
      <w:pPr>
        <w:keepNext w:val="0"/>
        <w:keepLines w:val="0"/>
        <w:pageBreakBefore w:val="0"/>
        <w:widowControl w:val="0"/>
        <w:kinsoku/>
        <w:wordWrap/>
        <w:overflowPunct/>
        <w:topLinePunct w:val="0"/>
        <w:autoSpaceDE/>
        <w:autoSpaceDN w:val="0"/>
        <w:bidi w:val="0"/>
        <w:adjustRightInd/>
        <w:snapToGrid w:val="0"/>
        <w:spacing w:line="560" w:lineRule="exact"/>
        <w:ind w:left="0" w:leftChars="0" w:right="0" w:rightChars="0" w:firstLine="640" w:firstLineChars="200"/>
        <w:textAlignment w:val="auto"/>
        <w:outlineLvl w:val="9"/>
        <w:rPr>
          <w:rFonts w:eastAsia="方正仿宋简体"/>
          <w:szCs w:val="32"/>
        </w:rPr>
      </w:pPr>
      <w:r>
        <w:rPr>
          <w:rFonts w:eastAsia="方正仿宋简体"/>
          <w:szCs w:val="32"/>
        </w:rPr>
        <w:t>企业相关药学专业技术人员，均必须经注册、登记备案后在职在岗，企业质量负责人和企业质量管理部门负责人不得互相兼任。</w:t>
      </w:r>
    </w:p>
    <w:p>
      <w:pPr>
        <w:keepNext w:val="0"/>
        <w:keepLines w:val="0"/>
        <w:pageBreakBefore w:val="0"/>
        <w:widowControl w:val="0"/>
        <w:kinsoku/>
        <w:wordWrap/>
        <w:overflowPunct/>
        <w:topLinePunct w:val="0"/>
        <w:autoSpaceDE/>
        <w:autoSpaceDN w:val="0"/>
        <w:bidi w:val="0"/>
        <w:adjustRightInd/>
        <w:snapToGrid w:val="0"/>
        <w:spacing w:line="560" w:lineRule="exact"/>
        <w:ind w:left="0" w:leftChars="0" w:right="0" w:rightChars="0" w:firstLine="643" w:firstLineChars="200"/>
        <w:textAlignment w:val="auto"/>
        <w:outlineLvl w:val="9"/>
        <w:rPr>
          <w:rFonts w:eastAsia="方正仿宋简体"/>
          <w:szCs w:val="32"/>
        </w:rPr>
      </w:pPr>
      <w:r>
        <w:rPr>
          <w:rFonts w:hint="eastAsia" w:ascii="方正黑体简体" w:hAnsi="方正黑体简体" w:eastAsia="方正黑体简体" w:cs="方正黑体简体"/>
          <w:b w:val="0"/>
          <w:bCs/>
          <w:szCs w:val="32"/>
        </w:rPr>
        <w:t>第六条</w:t>
      </w:r>
      <w:r>
        <w:rPr>
          <w:rFonts w:eastAsia="方正仿宋简体"/>
          <w:szCs w:val="32"/>
        </w:rPr>
        <w:t>　门店应符合以下设置要求：</w:t>
      </w:r>
    </w:p>
    <w:p>
      <w:pPr>
        <w:keepNext w:val="0"/>
        <w:keepLines w:val="0"/>
        <w:pageBreakBefore w:val="0"/>
        <w:widowControl w:val="0"/>
        <w:kinsoku/>
        <w:wordWrap/>
        <w:overflowPunct/>
        <w:topLinePunct w:val="0"/>
        <w:autoSpaceDE/>
        <w:autoSpaceDN w:val="0"/>
        <w:bidi w:val="0"/>
        <w:adjustRightInd/>
        <w:snapToGrid w:val="0"/>
        <w:spacing w:line="560" w:lineRule="exact"/>
        <w:ind w:left="0" w:leftChars="0" w:right="0" w:rightChars="0" w:firstLine="640" w:firstLineChars="200"/>
        <w:textAlignment w:val="auto"/>
        <w:outlineLvl w:val="9"/>
        <w:rPr>
          <w:rFonts w:eastAsia="方正仿宋简体"/>
          <w:szCs w:val="32"/>
        </w:rPr>
      </w:pPr>
      <w:r>
        <w:rPr>
          <w:rFonts w:eastAsia="方正仿宋简体"/>
          <w:szCs w:val="32"/>
        </w:rPr>
        <w:t>（一）门店应为非法人分支机构或与连锁企业总部为同一法定代表人。</w:t>
      </w:r>
    </w:p>
    <w:p>
      <w:pPr>
        <w:keepNext w:val="0"/>
        <w:keepLines w:val="0"/>
        <w:pageBreakBefore w:val="0"/>
        <w:widowControl w:val="0"/>
        <w:kinsoku/>
        <w:wordWrap/>
        <w:overflowPunct/>
        <w:topLinePunct w:val="0"/>
        <w:autoSpaceDE/>
        <w:autoSpaceDN w:val="0"/>
        <w:bidi w:val="0"/>
        <w:adjustRightInd/>
        <w:snapToGrid w:val="0"/>
        <w:spacing w:line="560" w:lineRule="exact"/>
        <w:ind w:left="0" w:leftChars="0" w:right="0" w:rightChars="0" w:firstLine="640" w:firstLineChars="200"/>
        <w:textAlignment w:val="auto"/>
        <w:outlineLvl w:val="9"/>
        <w:rPr>
          <w:rFonts w:eastAsia="方正仿宋简体"/>
          <w:szCs w:val="32"/>
        </w:rPr>
      </w:pPr>
      <w:r>
        <w:rPr>
          <w:rFonts w:eastAsia="方正仿宋简体"/>
          <w:szCs w:val="32"/>
        </w:rPr>
        <w:t>（二）门店负责人应当具备执业药师或者主管药师以上资格职称。其中在州（市）主城区以外的门店负责人应当具备执业药师或者药师、从业药师以上资格职称；县（区）主城区以外的门店负责人应当具备执业药师或者药士、药师协理以上资格职称。</w:t>
      </w:r>
    </w:p>
    <w:p>
      <w:pPr>
        <w:keepNext w:val="0"/>
        <w:keepLines w:val="0"/>
        <w:pageBreakBefore w:val="0"/>
        <w:widowControl w:val="0"/>
        <w:kinsoku/>
        <w:wordWrap/>
        <w:overflowPunct/>
        <w:topLinePunct w:val="0"/>
        <w:autoSpaceDE/>
        <w:autoSpaceDN w:val="0"/>
        <w:bidi w:val="0"/>
        <w:adjustRightInd/>
        <w:snapToGrid w:val="0"/>
        <w:spacing w:line="560" w:lineRule="exact"/>
        <w:ind w:left="0" w:leftChars="0" w:right="0" w:rightChars="0" w:firstLine="640" w:firstLineChars="200"/>
        <w:textAlignment w:val="auto"/>
        <w:outlineLvl w:val="9"/>
        <w:rPr>
          <w:rFonts w:eastAsia="方正仿宋简体"/>
          <w:szCs w:val="32"/>
        </w:rPr>
      </w:pPr>
      <w:r>
        <w:rPr>
          <w:rFonts w:eastAsia="方正仿宋简体"/>
          <w:szCs w:val="32"/>
        </w:rPr>
        <w:t>门店质量负责人应当具备执业药师或者主管药师（含非临床药学）以上资格职称。其中州（市）主城区以外门店应当配备执业药师或者药师、从业药师以上资格职称人员；县（区）主城区以外门店应当配备执业药师或者药士、药师协理以上资格职称人员，指导合理用药。</w:t>
      </w:r>
    </w:p>
    <w:p>
      <w:pPr>
        <w:keepNext w:val="0"/>
        <w:keepLines w:val="0"/>
        <w:pageBreakBefore w:val="0"/>
        <w:widowControl w:val="0"/>
        <w:kinsoku/>
        <w:wordWrap/>
        <w:overflowPunct/>
        <w:topLinePunct w:val="0"/>
        <w:autoSpaceDE/>
        <w:autoSpaceDN w:val="0"/>
        <w:bidi w:val="0"/>
        <w:adjustRightInd/>
        <w:snapToGrid w:val="0"/>
        <w:spacing w:line="560" w:lineRule="exact"/>
        <w:ind w:left="0" w:leftChars="0" w:right="0" w:rightChars="0" w:firstLine="640" w:firstLineChars="200"/>
        <w:textAlignment w:val="auto"/>
        <w:outlineLvl w:val="9"/>
        <w:rPr>
          <w:rFonts w:eastAsia="方正仿宋简体"/>
          <w:szCs w:val="32"/>
        </w:rPr>
      </w:pPr>
      <w:r>
        <w:rPr>
          <w:rFonts w:eastAsia="方正仿宋简体"/>
          <w:szCs w:val="32"/>
        </w:rPr>
        <w:t>门店负责人和门店质量负责人可以为同一人，且经过药学专业知识培训，熟悉有关药品管理的法律法规。</w:t>
      </w:r>
    </w:p>
    <w:p>
      <w:pPr>
        <w:keepNext w:val="0"/>
        <w:keepLines w:val="0"/>
        <w:pageBreakBefore w:val="0"/>
        <w:widowControl w:val="0"/>
        <w:kinsoku/>
        <w:wordWrap/>
        <w:overflowPunct/>
        <w:topLinePunct w:val="0"/>
        <w:autoSpaceDE/>
        <w:autoSpaceDN w:val="0"/>
        <w:bidi w:val="0"/>
        <w:adjustRightInd/>
        <w:snapToGrid w:val="0"/>
        <w:spacing w:line="560" w:lineRule="exact"/>
        <w:ind w:left="0" w:leftChars="0" w:right="0" w:rightChars="0" w:firstLine="640" w:firstLineChars="200"/>
        <w:textAlignment w:val="auto"/>
        <w:outlineLvl w:val="9"/>
        <w:rPr>
          <w:rFonts w:eastAsia="方正仿宋简体"/>
          <w:color w:val="FF0000"/>
          <w:szCs w:val="32"/>
        </w:rPr>
      </w:pPr>
      <w:r>
        <w:rPr>
          <w:rFonts w:eastAsia="方正仿宋简体"/>
          <w:szCs w:val="32"/>
        </w:rPr>
        <w:t>（三）门店质量管理、验收人员应当具有药学或者医学、生物、化学等相关专业学历或者具有药学专业技术职称。</w:t>
      </w:r>
    </w:p>
    <w:p>
      <w:pPr>
        <w:keepNext w:val="0"/>
        <w:keepLines w:val="0"/>
        <w:pageBreakBefore w:val="0"/>
        <w:widowControl w:val="0"/>
        <w:kinsoku/>
        <w:wordWrap/>
        <w:overflowPunct/>
        <w:topLinePunct w:val="0"/>
        <w:autoSpaceDE/>
        <w:autoSpaceDN w:val="0"/>
        <w:bidi w:val="0"/>
        <w:adjustRightInd/>
        <w:snapToGrid w:val="0"/>
        <w:spacing w:line="560" w:lineRule="exact"/>
        <w:ind w:left="0" w:leftChars="0" w:right="0" w:rightChars="0" w:firstLine="640" w:firstLineChars="200"/>
        <w:textAlignment w:val="auto"/>
        <w:outlineLvl w:val="9"/>
        <w:rPr>
          <w:rFonts w:eastAsia="方正仿宋简体"/>
          <w:szCs w:val="32"/>
        </w:rPr>
      </w:pPr>
      <w:r>
        <w:rPr>
          <w:rFonts w:eastAsia="方正仿宋简体"/>
          <w:szCs w:val="32"/>
        </w:rPr>
        <w:t>经营范围有中药饮片的门店，质量管理、验收人员应当具有中药学中专以上学历或者具有中药学专业初级以上专业技术职称。中药饮片调剂人员应当具有中药学中专以上学历或者具备中药调剂员资格。门店营业员应当具有初中（含）以上学历，并应经培训合格。</w:t>
      </w:r>
    </w:p>
    <w:p>
      <w:pPr>
        <w:keepNext w:val="0"/>
        <w:keepLines w:val="0"/>
        <w:pageBreakBefore w:val="0"/>
        <w:widowControl w:val="0"/>
        <w:kinsoku/>
        <w:wordWrap/>
        <w:overflowPunct/>
        <w:topLinePunct w:val="0"/>
        <w:autoSpaceDE/>
        <w:autoSpaceDN w:val="0"/>
        <w:bidi w:val="0"/>
        <w:adjustRightInd/>
        <w:snapToGrid w:val="0"/>
        <w:spacing w:line="560" w:lineRule="exact"/>
        <w:ind w:left="0" w:leftChars="0" w:right="0" w:rightChars="0" w:firstLine="640" w:firstLineChars="200"/>
        <w:textAlignment w:val="auto"/>
        <w:outlineLvl w:val="9"/>
        <w:rPr>
          <w:rFonts w:eastAsia="方正仿宋简体"/>
          <w:color w:val="FF0000"/>
          <w:szCs w:val="32"/>
        </w:rPr>
      </w:pPr>
      <w:r>
        <w:rPr>
          <w:rFonts w:eastAsia="方正仿宋简体"/>
          <w:szCs w:val="32"/>
        </w:rPr>
        <w:t>门店各岗位人员应当接受相关法律法规及药品专业知识与技能的岗前培训和继续培训，以符合《药品经营质量管理规范》（总局令第13号）的要求。</w:t>
      </w:r>
    </w:p>
    <w:p>
      <w:pPr>
        <w:pStyle w:val="4"/>
        <w:keepNext w:val="0"/>
        <w:keepLines w:val="0"/>
        <w:pageBreakBefore w:val="0"/>
        <w:widowControl w:val="0"/>
        <w:shd w:val="clear" w:color="auto" w:fill="FFFFFF"/>
        <w:kinsoku/>
        <w:wordWrap/>
        <w:overflowPunct/>
        <w:topLinePunct w:val="0"/>
        <w:autoSpaceDE/>
        <w:bidi w:val="0"/>
        <w:adjustRightInd/>
        <w:snapToGrid w:val="0"/>
        <w:spacing w:line="560" w:lineRule="exact"/>
        <w:ind w:left="0" w:leftChars="0" w:right="0" w:rightChars="0" w:firstLine="707" w:firstLineChars="221"/>
        <w:textAlignment w:val="auto"/>
        <w:outlineLvl w:val="9"/>
        <w:rPr>
          <w:rFonts w:eastAsia="方正仿宋简体"/>
          <w:sz w:val="32"/>
          <w:szCs w:val="32"/>
        </w:rPr>
      </w:pPr>
      <w:r>
        <w:rPr>
          <w:rFonts w:eastAsia="方正仿宋简体"/>
          <w:sz w:val="32"/>
          <w:szCs w:val="32"/>
        </w:rPr>
        <w:t>企业采取远程审方形式销售处方药、提供药事服务的，应符合《云南省药品零售连锁企业远程药事服务及审方系统指导原则》（试行）的规定。</w:t>
      </w:r>
    </w:p>
    <w:p>
      <w:pPr>
        <w:keepNext w:val="0"/>
        <w:keepLines w:val="0"/>
        <w:pageBreakBefore w:val="0"/>
        <w:widowControl w:val="0"/>
        <w:kinsoku/>
        <w:wordWrap/>
        <w:overflowPunct/>
        <w:topLinePunct w:val="0"/>
        <w:autoSpaceDE/>
        <w:autoSpaceDN w:val="0"/>
        <w:bidi w:val="0"/>
        <w:adjustRightInd/>
        <w:snapToGrid w:val="0"/>
        <w:spacing w:line="560" w:lineRule="exact"/>
        <w:ind w:left="0" w:leftChars="0" w:right="0" w:rightChars="0" w:firstLine="643" w:firstLineChars="200"/>
        <w:textAlignment w:val="auto"/>
        <w:outlineLvl w:val="9"/>
        <w:rPr>
          <w:rFonts w:eastAsia="方正仿宋简体"/>
          <w:szCs w:val="32"/>
        </w:rPr>
      </w:pPr>
      <w:r>
        <w:rPr>
          <w:rFonts w:hint="eastAsia" w:ascii="方正黑体简体" w:hAnsi="方正黑体简体" w:eastAsia="方正黑体简体" w:cs="方正黑体简体"/>
          <w:b w:val="0"/>
          <w:bCs/>
          <w:szCs w:val="32"/>
        </w:rPr>
        <w:t>第七条</w:t>
      </w:r>
      <w:r>
        <w:rPr>
          <w:rFonts w:eastAsia="方正仿宋简体"/>
          <w:szCs w:val="32"/>
        </w:rPr>
        <w:t xml:space="preserve"> </w:t>
      </w:r>
      <w:r>
        <w:rPr>
          <w:rFonts w:hint="eastAsia" w:eastAsia="方正仿宋简体"/>
          <w:szCs w:val="32"/>
        </w:rPr>
        <w:t xml:space="preserve"> </w:t>
      </w:r>
      <w:r>
        <w:rPr>
          <w:rFonts w:eastAsia="方正仿宋简体"/>
          <w:szCs w:val="32"/>
        </w:rPr>
        <w:t>企业直接接触药品的人员应每年进行健康检查，并建立档案，患有传染病或其他可能污染药品的疾病的人员，不得从事直接接触药品的工作。</w:t>
      </w:r>
    </w:p>
    <w:p>
      <w:pPr>
        <w:keepNext w:val="0"/>
        <w:keepLines w:val="0"/>
        <w:pageBreakBefore w:val="0"/>
        <w:widowControl w:val="0"/>
        <w:kinsoku/>
        <w:wordWrap/>
        <w:overflowPunct/>
        <w:topLinePunct w:val="0"/>
        <w:autoSpaceDE/>
        <w:autoSpaceDN w:val="0"/>
        <w:bidi w:val="0"/>
        <w:adjustRightInd/>
        <w:snapToGrid w:val="0"/>
        <w:spacing w:line="560" w:lineRule="exact"/>
        <w:ind w:left="0" w:leftChars="0" w:right="0" w:rightChars="0" w:firstLine="643" w:firstLineChars="200"/>
        <w:textAlignment w:val="auto"/>
        <w:outlineLvl w:val="9"/>
        <w:rPr>
          <w:rFonts w:eastAsia="方正仿宋简体"/>
          <w:szCs w:val="32"/>
        </w:rPr>
      </w:pPr>
      <w:r>
        <w:rPr>
          <w:rFonts w:hint="eastAsia" w:ascii="方正黑体简体" w:hAnsi="方正黑体简体" w:eastAsia="方正黑体简体" w:cs="方正黑体简体"/>
          <w:b w:val="0"/>
          <w:bCs/>
          <w:szCs w:val="32"/>
        </w:rPr>
        <w:t>第八条</w:t>
      </w:r>
      <w:r>
        <w:rPr>
          <w:rFonts w:eastAsia="方正仿宋简体"/>
          <w:szCs w:val="32"/>
        </w:rPr>
        <w:t xml:space="preserve"> </w:t>
      </w:r>
      <w:r>
        <w:rPr>
          <w:rFonts w:hint="eastAsia" w:eastAsia="方正仿宋简体"/>
          <w:szCs w:val="32"/>
        </w:rPr>
        <w:t xml:space="preserve"> </w:t>
      </w:r>
      <w:r>
        <w:rPr>
          <w:rFonts w:eastAsia="方正仿宋简体"/>
          <w:szCs w:val="32"/>
        </w:rPr>
        <w:t>企业应制定对员工进行药品相关的法律、法规和专业知识培训计划，建立培训档案,培训档案中应当记录培训时间、地点、内容及接受培训的人员。</w:t>
      </w:r>
    </w:p>
    <w:p>
      <w:pPr>
        <w:keepNext w:val="0"/>
        <w:keepLines w:val="0"/>
        <w:pageBreakBefore w:val="0"/>
        <w:widowControl w:val="0"/>
        <w:kinsoku/>
        <w:wordWrap/>
        <w:overflowPunct/>
        <w:topLinePunct w:val="0"/>
        <w:autoSpaceDE/>
        <w:autoSpaceDN w:val="0"/>
        <w:bidi w:val="0"/>
        <w:adjustRightInd/>
        <w:snapToGrid w:val="0"/>
        <w:spacing w:line="560" w:lineRule="exact"/>
        <w:ind w:left="0" w:leftChars="0" w:right="0" w:rightChars="0" w:firstLine="640" w:firstLineChars="200"/>
        <w:textAlignment w:val="auto"/>
        <w:outlineLvl w:val="9"/>
        <w:rPr>
          <w:rFonts w:eastAsia="方正仿宋简体"/>
          <w:szCs w:val="32"/>
        </w:rPr>
      </w:pPr>
      <w:r>
        <w:rPr>
          <w:rFonts w:hint="eastAsia" w:ascii="方正黑体简体" w:hAnsi="方正黑体简体" w:eastAsia="方正黑体简体" w:cs="方正黑体简体"/>
          <w:b w:val="0"/>
          <w:bCs/>
          <w:szCs w:val="32"/>
        </w:rPr>
        <w:t>第九条</w:t>
      </w:r>
      <w:r>
        <w:rPr>
          <w:rFonts w:eastAsia="方正仿宋简体"/>
          <w:szCs w:val="32"/>
        </w:rPr>
        <w:t>　零售连锁企业和门店负责人、质量负责人无《药品管理法》第75条、第82条规定的情形。</w:t>
      </w:r>
    </w:p>
    <w:p>
      <w:pPr>
        <w:keepNext w:val="0"/>
        <w:keepLines w:val="0"/>
        <w:pageBreakBefore w:val="0"/>
        <w:widowControl w:val="0"/>
        <w:kinsoku/>
        <w:wordWrap/>
        <w:overflowPunct/>
        <w:topLinePunct w:val="0"/>
        <w:autoSpaceDE/>
        <w:autoSpaceDN w:val="0"/>
        <w:bidi w:val="0"/>
        <w:adjustRightInd/>
        <w:snapToGrid w:val="0"/>
        <w:spacing w:line="560" w:lineRule="exact"/>
        <w:ind w:left="0" w:leftChars="0" w:right="0" w:rightChars="0"/>
        <w:jc w:val="center"/>
        <w:textAlignment w:val="auto"/>
        <w:outlineLvl w:val="9"/>
        <w:rPr>
          <w:rFonts w:hint="eastAsia" w:ascii="方正黑体简体" w:eastAsia="方正黑体简体"/>
          <w:szCs w:val="32"/>
        </w:rPr>
      </w:pPr>
      <w:r>
        <w:rPr>
          <w:rFonts w:hint="eastAsia" w:ascii="方正黑体简体" w:eastAsia="方正黑体简体"/>
          <w:szCs w:val="32"/>
        </w:rPr>
        <w:t>第三章 场所与设施设备</w:t>
      </w:r>
    </w:p>
    <w:p>
      <w:pPr>
        <w:keepNext w:val="0"/>
        <w:keepLines w:val="0"/>
        <w:pageBreakBefore w:val="0"/>
        <w:widowControl w:val="0"/>
        <w:kinsoku/>
        <w:wordWrap/>
        <w:overflowPunct/>
        <w:topLinePunct w:val="0"/>
        <w:autoSpaceDE/>
        <w:autoSpaceDN w:val="0"/>
        <w:bidi w:val="0"/>
        <w:adjustRightInd/>
        <w:snapToGrid w:val="0"/>
        <w:spacing w:line="560" w:lineRule="exact"/>
        <w:ind w:left="0" w:leftChars="0" w:right="0" w:rightChars="0" w:firstLine="643" w:firstLineChars="200"/>
        <w:textAlignment w:val="auto"/>
        <w:outlineLvl w:val="9"/>
        <w:rPr>
          <w:rFonts w:eastAsia="方正仿宋简体"/>
          <w:szCs w:val="32"/>
        </w:rPr>
      </w:pPr>
      <w:r>
        <w:rPr>
          <w:rFonts w:hint="eastAsia" w:ascii="方正黑体简体" w:hAnsi="方正黑体简体" w:eastAsia="方正黑体简体" w:cs="方正黑体简体"/>
          <w:b w:val="0"/>
          <w:bCs/>
          <w:szCs w:val="32"/>
        </w:rPr>
        <w:t>第十条</w:t>
      </w:r>
      <w:r>
        <w:rPr>
          <w:rFonts w:eastAsia="方正仿宋简体"/>
          <w:szCs w:val="32"/>
        </w:rPr>
        <w:t xml:space="preserve"> </w:t>
      </w:r>
      <w:r>
        <w:rPr>
          <w:rFonts w:hint="eastAsia" w:eastAsia="方正仿宋简体"/>
          <w:szCs w:val="32"/>
        </w:rPr>
        <w:t xml:space="preserve"> </w:t>
      </w:r>
      <w:r>
        <w:rPr>
          <w:rFonts w:eastAsia="方正仿宋简体"/>
          <w:szCs w:val="32"/>
        </w:rPr>
        <w:t>零售连锁企业总部、配送中心应具备以下场所与设施设备：</w:t>
      </w:r>
    </w:p>
    <w:p>
      <w:pPr>
        <w:keepNext w:val="0"/>
        <w:keepLines w:val="0"/>
        <w:pageBreakBefore w:val="0"/>
        <w:widowControl w:val="0"/>
        <w:kinsoku/>
        <w:wordWrap/>
        <w:overflowPunct/>
        <w:topLinePunct w:val="0"/>
        <w:autoSpaceDE/>
        <w:autoSpaceDN w:val="0"/>
        <w:bidi w:val="0"/>
        <w:adjustRightInd/>
        <w:snapToGrid w:val="0"/>
        <w:spacing w:line="560" w:lineRule="exact"/>
        <w:ind w:left="0" w:leftChars="0" w:right="0" w:rightChars="0" w:firstLine="640"/>
        <w:textAlignment w:val="auto"/>
        <w:outlineLvl w:val="9"/>
        <w:rPr>
          <w:rFonts w:eastAsia="方正仿宋简体"/>
          <w:szCs w:val="32"/>
        </w:rPr>
      </w:pPr>
      <w:r>
        <w:rPr>
          <w:rFonts w:eastAsia="方正仿宋简体"/>
          <w:szCs w:val="32"/>
        </w:rPr>
        <w:t>（一）总部具有与经营规模相适应的营业（办公）场所和辅助用房。营业（办公）场所建筑面积不低于100平方米，各部门应有相对独立办公区域。</w:t>
      </w:r>
    </w:p>
    <w:p>
      <w:pPr>
        <w:keepNext w:val="0"/>
        <w:keepLines w:val="0"/>
        <w:pageBreakBefore w:val="0"/>
        <w:widowControl w:val="0"/>
        <w:kinsoku/>
        <w:wordWrap/>
        <w:overflowPunct/>
        <w:topLinePunct w:val="0"/>
        <w:autoSpaceDE/>
        <w:autoSpaceDN w:val="0"/>
        <w:bidi w:val="0"/>
        <w:adjustRightInd/>
        <w:snapToGrid w:val="0"/>
        <w:spacing w:line="560" w:lineRule="exact"/>
        <w:ind w:left="0" w:leftChars="0" w:right="0" w:rightChars="0" w:firstLine="640"/>
        <w:textAlignment w:val="auto"/>
        <w:outlineLvl w:val="9"/>
        <w:rPr>
          <w:rFonts w:eastAsia="方正仿宋简体"/>
          <w:szCs w:val="32"/>
        </w:rPr>
      </w:pPr>
      <w:r>
        <w:rPr>
          <w:rFonts w:eastAsia="方正仿宋简体"/>
          <w:szCs w:val="32"/>
        </w:rPr>
        <w:t>（二）配送中心应按经营规模设置相应的仓库，仓库建筑面积不低于1500平方米。经营冷藏、冷冻药品的，应当配备与其经营规模和品种相适应的冷库及冷藏运输设备，确保冷链完整。每个药品仓库（含冷库）均必须符合《药品经营质量管理规范》（总局令第13号）和《云南省药品经营质量管理规范现场检查评定标准》要求，并具有能够保证药品储存质量要求的设施设备。</w:t>
      </w:r>
    </w:p>
    <w:p>
      <w:pPr>
        <w:keepNext w:val="0"/>
        <w:keepLines w:val="0"/>
        <w:pageBreakBefore w:val="0"/>
        <w:widowControl w:val="0"/>
        <w:kinsoku/>
        <w:wordWrap/>
        <w:overflowPunct/>
        <w:topLinePunct w:val="0"/>
        <w:autoSpaceDE/>
        <w:autoSpaceDN w:val="0"/>
        <w:bidi w:val="0"/>
        <w:adjustRightInd/>
        <w:snapToGrid w:val="0"/>
        <w:spacing w:line="560" w:lineRule="exact"/>
        <w:ind w:left="0" w:leftChars="0" w:right="0" w:rightChars="0" w:firstLine="643" w:firstLineChars="200"/>
        <w:textAlignment w:val="auto"/>
        <w:outlineLvl w:val="9"/>
        <w:rPr>
          <w:rFonts w:eastAsia="方正仿宋简体"/>
          <w:szCs w:val="32"/>
        </w:rPr>
      </w:pPr>
      <w:r>
        <w:rPr>
          <w:rFonts w:hint="eastAsia" w:ascii="方正黑体简体" w:hAnsi="方正黑体简体" w:eastAsia="方正黑体简体" w:cs="方正黑体简体"/>
          <w:b w:val="0"/>
          <w:bCs/>
          <w:szCs w:val="32"/>
        </w:rPr>
        <w:t>第十一条</w:t>
      </w:r>
      <w:r>
        <w:rPr>
          <w:rFonts w:hint="eastAsia" w:eastAsia="方正仿宋简体"/>
          <w:szCs w:val="32"/>
        </w:rPr>
        <w:t xml:space="preserve"> </w:t>
      </w:r>
      <w:r>
        <w:rPr>
          <w:rFonts w:eastAsia="方正仿宋简体"/>
          <w:szCs w:val="32"/>
        </w:rPr>
        <w:t xml:space="preserve"> 门店场所与设施设备应符合以下条件：</w:t>
      </w:r>
    </w:p>
    <w:p>
      <w:pPr>
        <w:keepNext w:val="0"/>
        <w:keepLines w:val="0"/>
        <w:pageBreakBefore w:val="0"/>
        <w:widowControl w:val="0"/>
        <w:kinsoku/>
        <w:wordWrap/>
        <w:overflowPunct/>
        <w:topLinePunct w:val="0"/>
        <w:autoSpaceDE/>
        <w:autoSpaceDN w:val="0"/>
        <w:bidi w:val="0"/>
        <w:adjustRightInd/>
        <w:snapToGrid w:val="0"/>
        <w:spacing w:line="560" w:lineRule="exact"/>
        <w:ind w:left="0" w:leftChars="0" w:right="0" w:rightChars="0" w:firstLine="640" w:firstLineChars="200"/>
        <w:textAlignment w:val="auto"/>
        <w:outlineLvl w:val="9"/>
        <w:rPr>
          <w:rFonts w:eastAsia="方正仿宋简体"/>
          <w:szCs w:val="32"/>
        </w:rPr>
      </w:pPr>
      <w:r>
        <w:rPr>
          <w:rFonts w:eastAsia="方正仿宋简体"/>
          <w:szCs w:val="32"/>
        </w:rPr>
        <w:t>（一）门店的营业场所应当与其药品经营范围、经营规模相适应。州（市）（含）以上主城区营业场所建筑面积不得低于100平方米；县（区）主城区营业场所建筑面积不得低于80平方米；乡镇集镇的营业场所建筑面积不得低于40平方米，乡镇集镇所在地以外的行政村或自然村的营业场所建筑面积不得低于20平方米。</w:t>
      </w:r>
    </w:p>
    <w:p>
      <w:pPr>
        <w:keepNext w:val="0"/>
        <w:keepLines w:val="0"/>
        <w:pageBreakBefore w:val="0"/>
        <w:widowControl w:val="0"/>
        <w:kinsoku/>
        <w:wordWrap/>
        <w:overflowPunct/>
        <w:topLinePunct w:val="0"/>
        <w:autoSpaceDE/>
        <w:autoSpaceDN w:val="0"/>
        <w:bidi w:val="0"/>
        <w:adjustRightInd/>
        <w:snapToGrid w:val="0"/>
        <w:spacing w:line="560" w:lineRule="exact"/>
        <w:ind w:left="0" w:leftChars="0" w:right="0" w:rightChars="0" w:firstLine="640" w:firstLineChars="200"/>
        <w:textAlignment w:val="auto"/>
        <w:outlineLvl w:val="9"/>
        <w:rPr>
          <w:rFonts w:eastAsia="方正仿宋简体"/>
          <w:szCs w:val="32"/>
        </w:rPr>
      </w:pPr>
      <w:r>
        <w:rPr>
          <w:rFonts w:eastAsia="方正仿宋简体"/>
          <w:szCs w:val="32"/>
        </w:rPr>
        <w:t>（二）门店应配备相应的设施设备：</w:t>
      </w:r>
    </w:p>
    <w:p>
      <w:pPr>
        <w:keepNext w:val="0"/>
        <w:keepLines w:val="0"/>
        <w:pageBreakBefore w:val="0"/>
        <w:widowControl w:val="0"/>
        <w:kinsoku/>
        <w:wordWrap/>
        <w:overflowPunct/>
        <w:topLinePunct w:val="0"/>
        <w:autoSpaceDE/>
        <w:autoSpaceDN w:val="0"/>
        <w:bidi w:val="0"/>
        <w:adjustRightInd/>
        <w:snapToGrid w:val="0"/>
        <w:spacing w:line="560" w:lineRule="exact"/>
        <w:ind w:left="0" w:leftChars="0" w:right="0" w:rightChars="0" w:firstLine="640" w:firstLineChars="200"/>
        <w:textAlignment w:val="auto"/>
        <w:outlineLvl w:val="9"/>
        <w:rPr>
          <w:rFonts w:eastAsia="方正仿宋简体"/>
          <w:szCs w:val="32"/>
        </w:rPr>
      </w:pPr>
      <w:r>
        <w:rPr>
          <w:rFonts w:eastAsia="方正仿宋简体"/>
          <w:szCs w:val="32"/>
        </w:rPr>
        <w:t>1</w:t>
      </w:r>
      <w:r>
        <w:rPr>
          <w:rFonts w:hint="eastAsia" w:eastAsia="方正仿宋简体"/>
          <w:szCs w:val="32"/>
        </w:rPr>
        <w:t>．</w:t>
      </w:r>
      <w:r>
        <w:rPr>
          <w:rFonts w:eastAsia="方正仿宋简体"/>
          <w:szCs w:val="32"/>
        </w:rPr>
        <w:t>货架和柜台；</w:t>
      </w:r>
    </w:p>
    <w:p>
      <w:pPr>
        <w:keepNext w:val="0"/>
        <w:keepLines w:val="0"/>
        <w:pageBreakBefore w:val="0"/>
        <w:widowControl w:val="0"/>
        <w:kinsoku/>
        <w:wordWrap/>
        <w:overflowPunct/>
        <w:topLinePunct w:val="0"/>
        <w:autoSpaceDE/>
        <w:autoSpaceDN w:val="0"/>
        <w:bidi w:val="0"/>
        <w:adjustRightInd/>
        <w:snapToGrid w:val="0"/>
        <w:spacing w:line="560" w:lineRule="exact"/>
        <w:ind w:left="0" w:leftChars="0" w:right="0" w:rightChars="0" w:firstLine="640" w:firstLineChars="200"/>
        <w:textAlignment w:val="auto"/>
        <w:outlineLvl w:val="9"/>
        <w:rPr>
          <w:rFonts w:eastAsia="方正仿宋简体"/>
          <w:szCs w:val="32"/>
        </w:rPr>
      </w:pPr>
      <w:r>
        <w:rPr>
          <w:rFonts w:eastAsia="方正仿宋简体"/>
          <w:szCs w:val="32"/>
        </w:rPr>
        <w:t>2</w:t>
      </w:r>
      <w:r>
        <w:rPr>
          <w:rFonts w:hint="eastAsia" w:eastAsia="方正仿宋简体"/>
          <w:szCs w:val="32"/>
        </w:rPr>
        <w:t>．</w:t>
      </w:r>
      <w:r>
        <w:rPr>
          <w:rFonts w:eastAsia="方正仿宋简体"/>
          <w:szCs w:val="32"/>
        </w:rPr>
        <w:t>监测、调控温湿度的设备；</w:t>
      </w:r>
    </w:p>
    <w:p>
      <w:pPr>
        <w:keepNext w:val="0"/>
        <w:keepLines w:val="0"/>
        <w:pageBreakBefore w:val="0"/>
        <w:widowControl w:val="0"/>
        <w:kinsoku/>
        <w:wordWrap/>
        <w:overflowPunct/>
        <w:topLinePunct w:val="0"/>
        <w:autoSpaceDE/>
        <w:autoSpaceDN w:val="0"/>
        <w:bidi w:val="0"/>
        <w:adjustRightInd/>
        <w:snapToGrid w:val="0"/>
        <w:spacing w:line="560" w:lineRule="exact"/>
        <w:ind w:left="0" w:leftChars="0" w:right="0" w:rightChars="0" w:firstLine="640" w:firstLineChars="200"/>
        <w:textAlignment w:val="auto"/>
        <w:outlineLvl w:val="9"/>
        <w:rPr>
          <w:rFonts w:eastAsia="方正仿宋简体"/>
          <w:szCs w:val="32"/>
        </w:rPr>
      </w:pPr>
      <w:r>
        <w:rPr>
          <w:rFonts w:eastAsia="方正仿宋简体"/>
          <w:szCs w:val="32"/>
        </w:rPr>
        <w:t>3</w:t>
      </w:r>
      <w:r>
        <w:rPr>
          <w:rFonts w:hint="eastAsia" w:eastAsia="方正仿宋简体"/>
          <w:szCs w:val="32"/>
        </w:rPr>
        <w:t>．</w:t>
      </w:r>
      <w:r>
        <w:rPr>
          <w:rFonts w:eastAsia="方正仿宋简体"/>
          <w:szCs w:val="32"/>
        </w:rPr>
        <w:t>经营中药饮片的，应有陈列和调配的设备；</w:t>
      </w:r>
    </w:p>
    <w:p>
      <w:pPr>
        <w:keepNext w:val="0"/>
        <w:keepLines w:val="0"/>
        <w:pageBreakBefore w:val="0"/>
        <w:widowControl w:val="0"/>
        <w:kinsoku/>
        <w:wordWrap/>
        <w:overflowPunct/>
        <w:topLinePunct w:val="0"/>
        <w:autoSpaceDE/>
        <w:autoSpaceDN w:val="0"/>
        <w:bidi w:val="0"/>
        <w:adjustRightInd/>
        <w:snapToGrid w:val="0"/>
        <w:spacing w:line="560" w:lineRule="exact"/>
        <w:ind w:left="0" w:leftChars="0" w:right="0" w:rightChars="0" w:firstLine="640" w:firstLineChars="200"/>
        <w:textAlignment w:val="auto"/>
        <w:outlineLvl w:val="9"/>
        <w:rPr>
          <w:rFonts w:eastAsia="方正仿宋简体"/>
          <w:szCs w:val="32"/>
        </w:rPr>
      </w:pPr>
      <w:r>
        <w:rPr>
          <w:rFonts w:eastAsia="方正仿宋简体"/>
          <w:szCs w:val="32"/>
        </w:rPr>
        <w:t>4</w:t>
      </w:r>
      <w:r>
        <w:rPr>
          <w:rFonts w:hint="eastAsia" w:eastAsia="方正仿宋简体"/>
          <w:szCs w:val="32"/>
        </w:rPr>
        <w:t>．</w:t>
      </w:r>
      <w:r>
        <w:rPr>
          <w:rFonts w:eastAsia="方正仿宋简体"/>
          <w:szCs w:val="32"/>
        </w:rPr>
        <w:t>经营冷藏药品的，应有专用冷藏设备；</w:t>
      </w:r>
    </w:p>
    <w:p>
      <w:pPr>
        <w:keepNext w:val="0"/>
        <w:keepLines w:val="0"/>
        <w:pageBreakBefore w:val="0"/>
        <w:widowControl w:val="0"/>
        <w:kinsoku/>
        <w:wordWrap/>
        <w:overflowPunct/>
        <w:topLinePunct w:val="0"/>
        <w:autoSpaceDE/>
        <w:autoSpaceDN w:val="0"/>
        <w:bidi w:val="0"/>
        <w:adjustRightInd/>
        <w:snapToGrid w:val="0"/>
        <w:spacing w:line="560" w:lineRule="exact"/>
        <w:ind w:left="0" w:leftChars="0" w:right="0" w:rightChars="0" w:firstLine="640" w:firstLineChars="200"/>
        <w:textAlignment w:val="auto"/>
        <w:outlineLvl w:val="9"/>
        <w:rPr>
          <w:rFonts w:eastAsia="方正仿宋简体"/>
          <w:szCs w:val="32"/>
        </w:rPr>
      </w:pPr>
      <w:r>
        <w:rPr>
          <w:rFonts w:eastAsia="方正仿宋简体"/>
          <w:szCs w:val="32"/>
        </w:rPr>
        <w:t>5</w:t>
      </w:r>
      <w:r>
        <w:rPr>
          <w:rFonts w:hint="eastAsia" w:eastAsia="方正仿宋简体"/>
          <w:szCs w:val="32"/>
        </w:rPr>
        <w:t>．</w:t>
      </w:r>
      <w:r>
        <w:rPr>
          <w:rFonts w:eastAsia="方正仿宋简体"/>
          <w:szCs w:val="32"/>
        </w:rPr>
        <w:t>经营第二类精神药品、毒性中药和罂粟壳等有特殊管理要求的品种，应有符合规定的专用存放设备；</w:t>
      </w:r>
    </w:p>
    <w:p>
      <w:pPr>
        <w:keepNext w:val="0"/>
        <w:keepLines w:val="0"/>
        <w:pageBreakBefore w:val="0"/>
        <w:widowControl w:val="0"/>
        <w:kinsoku/>
        <w:wordWrap/>
        <w:overflowPunct/>
        <w:topLinePunct w:val="0"/>
        <w:autoSpaceDE/>
        <w:autoSpaceDN w:val="0"/>
        <w:bidi w:val="0"/>
        <w:adjustRightInd/>
        <w:snapToGrid w:val="0"/>
        <w:spacing w:line="560" w:lineRule="exact"/>
        <w:ind w:left="0" w:leftChars="0" w:right="0" w:rightChars="0" w:firstLine="640" w:firstLineChars="200"/>
        <w:textAlignment w:val="auto"/>
        <w:outlineLvl w:val="9"/>
        <w:rPr>
          <w:rFonts w:eastAsia="方正仿宋简体"/>
          <w:szCs w:val="32"/>
        </w:rPr>
      </w:pPr>
      <w:r>
        <w:rPr>
          <w:rFonts w:eastAsia="方正仿宋简体"/>
          <w:szCs w:val="32"/>
        </w:rPr>
        <w:t>6</w:t>
      </w:r>
      <w:r>
        <w:rPr>
          <w:rFonts w:hint="eastAsia" w:eastAsia="方正仿宋简体"/>
          <w:szCs w:val="32"/>
        </w:rPr>
        <w:t>．</w:t>
      </w:r>
      <w:r>
        <w:rPr>
          <w:rFonts w:eastAsia="方正仿宋简体"/>
          <w:szCs w:val="32"/>
        </w:rPr>
        <w:t>有拆零销售的，应配备调配工具和包装用品；</w:t>
      </w:r>
    </w:p>
    <w:p>
      <w:pPr>
        <w:keepNext w:val="0"/>
        <w:keepLines w:val="0"/>
        <w:pageBreakBefore w:val="0"/>
        <w:widowControl w:val="0"/>
        <w:kinsoku/>
        <w:wordWrap/>
        <w:overflowPunct/>
        <w:topLinePunct w:val="0"/>
        <w:autoSpaceDE/>
        <w:autoSpaceDN w:val="0"/>
        <w:bidi w:val="0"/>
        <w:adjustRightInd/>
        <w:snapToGrid w:val="0"/>
        <w:spacing w:line="560" w:lineRule="exact"/>
        <w:ind w:left="0" w:leftChars="0" w:right="0" w:rightChars="0" w:firstLine="640" w:firstLineChars="200"/>
        <w:textAlignment w:val="auto"/>
        <w:outlineLvl w:val="9"/>
        <w:rPr>
          <w:rFonts w:eastAsia="方正仿宋简体"/>
          <w:szCs w:val="32"/>
        </w:rPr>
      </w:pPr>
      <w:r>
        <w:rPr>
          <w:rFonts w:eastAsia="方正仿宋简体"/>
          <w:szCs w:val="32"/>
        </w:rPr>
        <w:t>7</w:t>
      </w:r>
      <w:r>
        <w:rPr>
          <w:rFonts w:hint="eastAsia" w:eastAsia="方正仿宋简体"/>
          <w:szCs w:val="32"/>
        </w:rPr>
        <w:t>．</w:t>
      </w:r>
      <w:r>
        <w:rPr>
          <w:rFonts w:eastAsia="方正仿宋简体"/>
          <w:szCs w:val="32"/>
        </w:rPr>
        <w:t>防潮、防尘、防污染、防霉变和防虫、防鼠等设备。</w:t>
      </w:r>
    </w:p>
    <w:p>
      <w:pPr>
        <w:keepNext w:val="0"/>
        <w:keepLines w:val="0"/>
        <w:pageBreakBefore w:val="0"/>
        <w:widowControl w:val="0"/>
        <w:kinsoku/>
        <w:wordWrap/>
        <w:overflowPunct/>
        <w:topLinePunct w:val="0"/>
        <w:autoSpaceDE/>
        <w:autoSpaceDN w:val="0"/>
        <w:bidi w:val="0"/>
        <w:adjustRightInd/>
        <w:snapToGrid w:val="0"/>
        <w:spacing w:line="560" w:lineRule="exact"/>
        <w:ind w:left="0" w:leftChars="0" w:right="0" w:rightChars="0" w:firstLine="640" w:firstLineChars="200"/>
        <w:textAlignment w:val="auto"/>
        <w:outlineLvl w:val="9"/>
        <w:rPr>
          <w:rFonts w:eastAsia="方正仿宋简体"/>
          <w:szCs w:val="32"/>
        </w:rPr>
      </w:pPr>
      <w:r>
        <w:rPr>
          <w:rFonts w:eastAsia="方正仿宋简体"/>
          <w:szCs w:val="32"/>
        </w:rPr>
        <w:t>（三）门店药品的陈列与储存应当符合《药品经营质量管理规范》（总局令第13号）和《云南省药品经营质量管理规范现场检查评定标准》的要求。</w:t>
      </w:r>
    </w:p>
    <w:p>
      <w:pPr>
        <w:keepNext w:val="0"/>
        <w:keepLines w:val="0"/>
        <w:pageBreakBefore w:val="0"/>
        <w:widowControl w:val="0"/>
        <w:kinsoku/>
        <w:wordWrap/>
        <w:overflowPunct/>
        <w:topLinePunct w:val="0"/>
        <w:autoSpaceDE/>
        <w:autoSpaceDN w:val="0"/>
        <w:bidi w:val="0"/>
        <w:adjustRightInd/>
        <w:snapToGrid w:val="0"/>
        <w:spacing w:line="560" w:lineRule="exact"/>
        <w:ind w:left="0" w:leftChars="0" w:right="0" w:rightChars="0" w:firstLine="643" w:firstLineChars="200"/>
        <w:textAlignment w:val="auto"/>
        <w:outlineLvl w:val="9"/>
        <w:rPr>
          <w:rFonts w:eastAsia="方正仿宋简体"/>
          <w:szCs w:val="32"/>
        </w:rPr>
      </w:pPr>
      <w:r>
        <w:rPr>
          <w:rFonts w:hint="eastAsia" w:ascii="方正黑体简体" w:hAnsi="方正黑体简体" w:eastAsia="方正黑体简体" w:cs="方正黑体简体"/>
          <w:b w:val="0"/>
          <w:bCs/>
          <w:szCs w:val="32"/>
        </w:rPr>
        <w:t>第十二条</w:t>
      </w:r>
      <w:r>
        <w:rPr>
          <w:rFonts w:eastAsia="方正仿宋简体"/>
          <w:szCs w:val="32"/>
        </w:rPr>
        <w:t>　药品零售连锁企业总部应当按照《药品经营质量管理规范》（总局令第13号）及相关附录的要求，建立统一的网络管理（计算机管理系统），对总部、配送中心与门店进行统一的质量管控。</w:t>
      </w:r>
    </w:p>
    <w:p>
      <w:pPr>
        <w:keepNext w:val="0"/>
        <w:keepLines w:val="0"/>
        <w:pageBreakBefore w:val="0"/>
        <w:widowControl w:val="0"/>
        <w:kinsoku/>
        <w:wordWrap/>
        <w:overflowPunct/>
        <w:topLinePunct w:val="0"/>
        <w:autoSpaceDE/>
        <w:bidi w:val="0"/>
        <w:adjustRightInd/>
        <w:spacing w:line="560" w:lineRule="exact"/>
        <w:ind w:left="0" w:leftChars="0" w:right="0" w:rightChars="0" w:firstLine="640" w:firstLineChars="200"/>
        <w:textAlignment w:val="auto"/>
        <w:outlineLvl w:val="9"/>
        <w:rPr>
          <w:rFonts w:eastAsia="方正仿宋简体"/>
          <w:szCs w:val="32"/>
        </w:rPr>
      </w:pPr>
      <w:r>
        <w:rPr>
          <w:rFonts w:eastAsia="方正仿宋简体"/>
          <w:szCs w:val="32"/>
        </w:rPr>
        <w:t>系统应当实现总部、配送中心与门店间的信息传输、数据共享、票据管理功能，实时互联互通，对药品购进、收货、验收、储存、配送等各环节经营质量实行全过程控制；能全面控制门店各环节质量管理；对经营赋码药品的全过程电子监管严格按照《药品经营质量管理规范》（总局令第13号）和国家总局相关规定执行。</w:t>
      </w:r>
    </w:p>
    <w:p>
      <w:pPr>
        <w:keepNext w:val="0"/>
        <w:keepLines w:val="0"/>
        <w:pageBreakBefore w:val="0"/>
        <w:widowControl w:val="0"/>
        <w:kinsoku/>
        <w:wordWrap/>
        <w:overflowPunct/>
        <w:topLinePunct w:val="0"/>
        <w:autoSpaceDE/>
        <w:autoSpaceDN w:val="0"/>
        <w:bidi w:val="0"/>
        <w:adjustRightInd/>
        <w:snapToGrid w:val="0"/>
        <w:spacing w:line="560" w:lineRule="exact"/>
        <w:ind w:left="0" w:leftChars="0" w:right="0" w:rightChars="0" w:firstLine="640" w:firstLineChars="200"/>
        <w:textAlignment w:val="auto"/>
        <w:outlineLvl w:val="9"/>
        <w:rPr>
          <w:rFonts w:eastAsia="方正仿宋简体"/>
          <w:szCs w:val="32"/>
        </w:rPr>
      </w:pPr>
      <w:r>
        <w:rPr>
          <w:rFonts w:eastAsia="方正仿宋简体"/>
          <w:szCs w:val="32"/>
        </w:rPr>
        <w:t>连锁门店不得自行采购药品。</w:t>
      </w:r>
    </w:p>
    <w:p>
      <w:pPr>
        <w:keepNext w:val="0"/>
        <w:keepLines w:val="0"/>
        <w:pageBreakBefore w:val="0"/>
        <w:widowControl w:val="0"/>
        <w:kinsoku/>
        <w:wordWrap/>
        <w:overflowPunct/>
        <w:topLinePunct w:val="0"/>
        <w:autoSpaceDE/>
        <w:autoSpaceDN w:val="0"/>
        <w:bidi w:val="0"/>
        <w:adjustRightInd/>
        <w:snapToGrid w:val="0"/>
        <w:spacing w:line="560" w:lineRule="exact"/>
        <w:ind w:left="0" w:leftChars="0" w:right="0" w:rightChars="0" w:firstLine="643" w:firstLineChars="200"/>
        <w:textAlignment w:val="auto"/>
        <w:outlineLvl w:val="9"/>
        <w:rPr>
          <w:rFonts w:eastAsia="方正仿宋简体"/>
          <w:szCs w:val="32"/>
        </w:rPr>
      </w:pPr>
      <w:r>
        <w:rPr>
          <w:rFonts w:hint="eastAsia" w:ascii="方正黑体简体" w:hAnsi="方正黑体简体" w:eastAsia="方正黑体简体" w:cs="方正黑体简体"/>
          <w:b w:val="0"/>
          <w:bCs/>
          <w:szCs w:val="32"/>
        </w:rPr>
        <w:t>第十三条</w:t>
      </w:r>
      <w:r>
        <w:rPr>
          <w:rFonts w:eastAsia="方正仿宋简体"/>
          <w:szCs w:val="32"/>
        </w:rPr>
        <w:t>　零售连锁企业应制定符合《药品经营质量管理规范》（总局令第13号）和《云南省药品经营质量管理规范现场检查评定标准》要求的质量管理制度。</w:t>
      </w:r>
    </w:p>
    <w:p>
      <w:pPr>
        <w:keepNext w:val="0"/>
        <w:keepLines w:val="0"/>
        <w:pageBreakBefore w:val="0"/>
        <w:widowControl w:val="0"/>
        <w:kinsoku/>
        <w:wordWrap/>
        <w:overflowPunct/>
        <w:topLinePunct w:val="0"/>
        <w:autoSpaceDE/>
        <w:autoSpaceDN w:val="0"/>
        <w:bidi w:val="0"/>
        <w:adjustRightInd/>
        <w:snapToGrid w:val="0"/>
        <w:spacing w:line="560" w:lineRule="exact"/>
        <w:ind w:left="0" w:leftChars="0" w:right="0" w:rightChars="0"/>
        <w:jc w:val="center"/>
        <w:textAlignment w:val="auto"/>
        <w:outlineLvl w:val="9"/>
        <w:rPr>
          <w:rFonts w:hint="eastAsia" w:ascii="方正黑体简体" w:eastAsia="方正黑体简体"/>
          <w:szCs w:val="32"/>
        </w:rPr>
      </w:pPr>
      <w:r>
        <w:rPr>
          <w:rFonts w:hint="eastAsia" w:ascii="方正黑体简体" w:eastAsia="方正黑体简体"/>
          <w:szCs w:val="32"/>
        </w:rPr>
        <w:t xml:space="preserve">第四章 </w:t>
      </w:r>
      <w:r>
        <w:rPr>
          <w:rFonts w:hint="eastAsia" w:ascii="方正黑体简体" w:eastAsia="方正黑体简体"/>
          <w:szCs w:val="32"/>
          <w:lang w:val="en-US" w:eastAsia="zh-CN"/>
        </w:rPr>
        <w:t xml:space="preserve"> </w:t>
      </w:r>
      <w:r>
        <w:rPr>
          <w:rFonts w:hint="eastAsia" w:ascii="方正黑体简体" w:eastAsia="方正黑体简体"/>
          <w:szCs w:val="32"/>
        </w:rPr>
        <w:t>附  则</w:t>
      </w:r>
    </w:p>
    <w:p>
      <w:pPr>
        <w:keepNext w:val="0"/>
        <w:keepLines w:val="0"/>
        <w:pageBreakBefore w:val="0"/>
        <w:widowControl w:val="0"/>
        <w:kinsoku/>
        <w:wordWrap/>
        <w:overflowPunct/>
        <w:topLinePunct w:val="0"/>
        <w:autoSpaceDE/>
        <w:autoSpaceDN w:val="0"/>
        <w:bidi w:val="0"/>
        <w:adjustRightInd/>
        <w:snapToGrid w:val="0"/>
        <w:spacing w:line="560" w:lineRule="exact"/>
        <w:ind w:left="0" w:leftChars="0" w:right="0" w:rightChars="0" w:firstLine="643" w:firstLineChars="200"/>
        <w:textAlignment w:val="auto"/>
        <w:outlineLvl w:val="9"/>
        <w:rPr>
          <w:rFonts w:eastAsia="方正仿宋简体"/>
          <w:szCs w:val="32"/>
        </w:rPr>
      </w:pPr>
      <w:r>
        <w:rPr>
          <w:rFonts w:hint="eastAsia" w:ascii="方正黑体简体" w:hAnsi="方正黑体简体" w:eastAsia="方正黑体简体" w:cs="方正黑体简体"/>
          <w:b w:val="0"/>
          <w:bCs/>
          <w:szCs w:val="32"/>
        </w:rPr>
        <w:t>第十四条</w:t>
      </w:r>
      <w:r>
        <w:rPr>
          <w:rFonts w:eastAsia="方正仿宋简体"/>
          <w:szCs w:val="32"/>
        </w:rPr>
        <w:t xml:space="preserve">  对连锁企业在本省跨行政区域开办的门店，各地食品药品监管部门应执行本标准。连锁企业应及时将在本省内跨地域开办的门店信息，向连锁企业总部所在地食品药品监管部门（按事权划分的食品药品监管部门）备案，连锁企业总部所在地食品药品监管部门适时汇总新增门店信息并报省局。</w:t>
      </w:r>
    </w:p>
    <w:p>
      <w:pPr>
        <w:keepNext w:val="0"/>
        <w:keepLines w:val="0"/>
        <w:pageBreakBefore w:val="0"/>
        <w:widowControl w:val="0"/>
        <w:kinsoku/>
        <w:wordWrap/>
        <w:overflowPunct/>
        <w:topLinePunct w:val="0"/>
        <w:autoSpaceDE/>
        <w:autoSpaceDN w:val="0"/>
        <w:bidi w:val="0"/>
        <w:adjustRightInd/>
        <w:snapToGrid w:val="0"/>
        <w:spacing w:line="560" w:lineRule="exact"/>
        <w:ind w:left="0" w:leftChars="0" w:right="0" w:rightChars="0" w:firstLine="643" w:firstLineChars="200"/>
        <w:textAlignment w:val="auto"/>
        <w:outlineLvl w:val="9"/>
        <w:rPr>
          <w:rFonts w:eastAsia="方正仿宋简体"/>
          <w:szCs w:val="32"/>
        </w:rPr>
      </w:pPr>
      <w:r>
        <w:rPr>
          <w:rFonts w:hint="eastAsia" w:ascii="方正黑体简体" w:hAnsi="方正黑体简体" w:eastAsia="方正黑体简体" w:cs="方正黑体简体"/>
          <w:b w:val="0"/>
          <w:bCs/>
          <w:szCs w:val="32"/>
        </w:rPr>
        <w:t>第十五条</w:t>
      </w:r>
      <w:r>
        <w:rPr>
          <w:rFonts w:eastAsia="方正仿宋简体"/>
          <w:szCs w:val="32"/>
        </w:rPr>
        <w:t xml:space="preserve">  连锁企业门店的设立不应设置距离限制。</w:t>
      </w:r>
    </w:p>
    <w:p>
      <w:pPr>
        <w:keepNext w:val="0"/>
        <w:keepLines w:val="0"/>
        <w:pageBreakBefore w:val="0"/>
        <w:widowControl w:val="0"/>
        <w:kinsoku/>
        <w:wordWrap/>
        <w:overflowPunct/>
        <w:topLinePunct w:val="0"/>
        <w:autoSpaceDE/>
        <w:autoSpaceDN w:val="0"/>
        <w:bidi w:val="0"/>
        <w:adjustRightInd/>
        <w:snapToGrid w:val="0"/>
        <w:spacing w:line="560" w:lineRule="exact"/>
        <w:ind w:left="0" w:leftChars="0" w:right="0" w:rightChars="0" w:firstLine="643" w:firstLineChars="200"/>
        <w:textAlignment w:val="auto"/>
        <w:outlineLvl w:val="9"/>
        <w:rPr>
          <w:rFonts w:eastAsia="方正仿宋简体"/>
          <w:szCs w:val="32"/>
        </w:rPr>
      </w:pPr>
      <w:r>
        <w:rPr>
          <w:rFonts w:hint="eastAsia" w:ascii="方正黑体简体" w:hAnsi="方正黑体简体" w:eastAsia="方正黑体简体" w:cs="方正黑体简体"/>
          <w:b w:val="0"/>
          <w:bCs/>
          <w:szCs w:val="32"/>
        </w:rPr>
        <w:t xml:space="preserve">第十六条 </w:t>
      </w:r>
      <w:r>
        <w:rPr>
          <w:rFonts w:eastAsia="方正仿宋简体"/>
          <w:szCs w:val="32"/>
        </w:rPr>
        <w:t xml:space="preserve"> 连锁企业取得《药品经营许可证》后，应按国家总局、省局相关规定申请GSP认证。国家出台有关新的规定后，按新规定执行。</w:t>
      </w:r>
    </w:p>
    <w:p>
      <w:pPr>
        <w:keepNext w:val="0"/>
        <w:keepLines w:val="0"/>
        <w:pageBreakBefore w:val="0"/>
        <w:widowControl w:val="0"/>
        <w:kinsoku/>
        <w:wordWrap/>
        <w:overflowPunct/>
        <w:topLinePunct w:val="0"/>
        <w:autoSpaceDE/>
        <w:autoSpaceDN w:val="0"/>
        <w:bidi w:val="0"/>
        <w:adjustRightInd/>
        <w:snapToGrid w:val="0"/>
        <w:spacing w:line="560" w:lineRule="exact"/>
        <w:ind w:left="0" w:leftChars="0" w:right="0" w:rightChars="0" w:firstLine="643" w:firstLineChars="200"/>
        <w:textAlignment w:val="auto"/>
        <w:outlineLvl w:val="9"/>
        <w:rPr>
          <w:rFonts w:eastAsia="方正仿宋简体"/>
          <w:szCs w:val="32"/>
        </w:rPr>
      </w:pPr>
      <w:r>
        <w:rPr>
          <w:rFonts w:hint="eastAsia" w:ascii="方正黑体简体" w:hAnsi="方正黑体简体" w:eastAsia="方正黑体简体" w:cs="方正黑体简体"/>
          <w:b w:val="0"/>
          <w:bCs/>
          <w:szCs w:val="32"/>
        </w:rPr>
        <w:t>第十七条</w:t>
      </w:r>
      <w:r>
        <w:rPr>
          <w:rFonts w:eastAsia="方正仿宋简体"/>
          <w:szCs w:val="32"/>
        </w:rPr>
        <w:t xml:space="preserve">  本标准中凡涉及“以上”、“以下”的条款，均含本数（级）。</w:t>
      </w:r>
    </w:p>
    <w:p>
      <w:pPr>
        <w:keepNext w:val="0"/>
        <w:keepLines w:val="0"/>
        <w:pageBreakBefore w:val="0"/>
        <w:widowControl w:val="0"/>
        <w:kinsoku/>
        <w:wordWrap/>
        <w:overflowPunct/>
        <w:topLinePunct w:val="0"/>
        <w:autoSpaceDE/>
        <w:autoSpaceDN w:val="0"/>
        <w:bidi w:val="0"/>
        <w:adjustRightInd/>
        <w:snapToGrid w:val="0"/>
        <w:spacing w:line="560" w:lineRule="exact"/>
        <w:ind w:left="0" w:leftChars="0" w:right="0" w:rightChars="0"/>
        <w:textAlignment w:val="auto"/>
        <w:outlineLvl w:val="9"/>
        <w:rPr>
          <w:rFonts w:eastAsia="方正仿宋简体"/>
          <w:szCs w:val="32"/>
        </w:rPr>
      </w:pPr>
      <w:r>
        <w:rPr>
          <w:rFonts w:eastAsia="方正仿宋简体"/>
          <w:szCs w:val="32"/>
        </w:rPr>
        <w:t xml:space="preserve">    </w:t>
      </w:r>
      <w:r>
        <w:rPr>
          <w:rFonts w:hint="eastAsia" w:ascii="方正黑体简体" w:hAnsi="方正黑体简体" w:eastAsia="方正黑体简体" w:cs="方正黑体简体"/>
          <w:b w:val="0"/>
          <w:bCs/>
          <w:szCs w:val="32"/>
        </w:rPr>
        <w:t>第十八条</w:t>
      </w:r>
      <w:r>
        <w:rPr>
          <w:rFonts w:eastAsia="方正仿宋简体"/>
          <w:szCs w:val="32"/>
        </w:rPr>
        <w:t xml:space="preserve">  本标准由云南省食品药品监督管理局负责解释。</w:t>
      </w:r>
    </w:p>
    <w:p>
      <w:pPr>
        <w:keepNext w:val="0"/>
        <w:keepLines w:val="0"/>
        <w:pageBreakBefore w:val="0"/>
        <w:widowControl w:val="0"/>
        <w:kinsoku/>
        <w:wordWrap/>
        <w:overflowPunct/>
        <w:topLinePunct w:val="0"/>
        <w:autoSpaceDE/>
        <w:autoSpaceDN w:val="0"/>
        <w:bidi w:val="0"/>
        <w:adjustRightInd/>
        <w:snapToGrid w:val="0"/>
        <w:spacing w:line="560" w:lineRule="exact"/>
        <w:ind w:left="0" w:leftChars="0" w:right="0" w:rightChars="0"/>
        <w:textAlignment w:val="auto"/>
        <w:outlineLvl w:val="9"/>
        <w:rPr>
          <w:rFonts w:hint="eastAsia" w:eastAsia="方正仿宋简体"/>
        </w:rPr>
      </w:pPr>
      <w:r>
        <w:rPr>
          <w:rFonts w:eastAsia="方正仿宋简体"/>
          <w:szCs w:val="32"/>
        </w:rPr>
        <w:t xml:space="preserve">    </w:t>
      </w:r>
      <w:r>
        <w:rPr>
          <w:rFonts w:hint="eastAsia" w:ascii="方正黑体简体" w:hAnsi="方正黑体简体" w:eastAsia="方正黑体简体" w:cs="方正黑体简体"/>
          <w:b w:val="0"/>
          <w:bCs/>
          <w:szCs w:val="32"/>
        </w:rPr>
        <w:t xml:space="preserve">第十九条 </w:t>
      </w:r>
      <w:r>
        <w:rPr>
          <w:rFonts w:eastAsia="方正仿宋简体"/>
          <w:szCs w:val="32"/>
        </w:rPr>
        <w:t xml:space="preserve"> 本标准自印发之日起实施。</w:t>
      </w:r>
    </w:p>
    <w:sectPr>
      <w:headerReference r:id="rId3" w:type="default"/>
      <w:footerReference r:id="rId4" w:type="default"/>
      <w:pgSz w:w="11906" w:h="16838"/>
      <w:pgMar w:top="2098" w:right="1474" w:bottom="1984" w:left="1587" w:header="851" w:footer="992" w:gutter="0"/>
      <w:pgNumType w:fmt="numberInDash" w:start="7"/>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egoe Print">
    <w:panose1 w:val="02000600000000000000"/>
    <w:charset w:val="00"/>
    <w:family w:val="auto"/>
    <w:pitch w:val="default"/>
    <w:sig w:usb0="0000028F" w:usb1="00000000" w:usb2="00000000" w:usb3="00000000" w:csb0="2000009F" w:csb1="47010000"/>
  </w:font>
  <w:font w:name="Arial Rounded MT Bold">
    <w:altName w:val="Arial"/>
    <w:panose1 w:val="020F0704030504030204"/>
    <w:charset w:val="00"/>
    <w:family w:val="auto"/>
    <w:pitch w:val="default"/>
    <w:sig w:usb0="00000000"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390D1F"/>
    <w:rsid w:val="1A033FF5"/>
    <w:rsid w:val="267C7C77"/>
    <w:rsid w:val="3FEF7CA3"/>
    <w:rsid w:val="41EC4266"/>
    <w:rsid w:val="5C390D1F"/>
    <w:rsid w:val="5D0F246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云南省食品药品监督管理局</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2019-07-02T01:57:00Z</dcterms:created>
  <dc:creator>杨顺规【药品市场监管处】</dc:creator>
  <cp:lastModifiedBy>孙自彬</cp:lastModifiedBy>
  <cp:lastPrinted>2019-07-03T07:41:00Z</cp:lastPrinted>
  <dcterms:modified xsi:type="dcterms:W3CDTF">2019-07-03T09:00:42Z</dcterms:modified>
  <dc:title>云南省药品零售连锁企业验收标准（试行）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